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DD89" w14:textId="77777777" w:rsidR="009A07E3" w:rsidRDefault="009A07E3" w:rsidP="007726DE">
      <w:pPr>
        <w:jc w:val="both"/>
        <w:rPr>
          <w:rFonts w:cs="Arial"/>
          <w:lang w:val="en-US"/>
        </w:rPr>
      </w:pPr>
    </w:p>
    <w:p w14:paraId="2611273B" w14:textId="77777777" w:rsidR="009A07E3" w:rsidRDefault="009A07E3" w:rsidP="007726DE">
      <w:pPr>
        <w:jc w:val="both"/>
        <w:rPr>
          <w:rFonts w:cs="Arial"/>
          <w:lang w:val="en-US"/>
        </w:rPr>
      </w:pPr>
    </w:p>
    <w:p w14:paraId="4BFACF38" w14:textId="77777777" w:rsidR="009A07E3" w:rsidRDefault="009A07E3" w:rsidP="007726DE">
      <w:pPr>
        <w:jc w:val="both"/>
        <w:rPr>
          <w:rFonts w:cs="Arial"/>
          <w:lang w:val="en-US"/>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F33CBD" w14:paraId="652EB3C0" w14:textId="77777777" w:rsidTr="00F33CBD">
        <w:tc>
          <w:tcPr>
            <w:tcW w:w="3823" w:type="dxa"/>
          </w:tcPr>
          <w:p w14:paraId="7F5E7155" w14:textId="04E0A8BA" w:rsidR="00F33CBD" w:rsidRDefault="00F33CBD" w:rsidP="00F33CBD">
            <w:pPr>
              <w:ind w:hanging="105"/>
              <w:jc w:val="both"/>
              <w:rPr>
                <w:rFonts w:cs="Arial"/>
                <w:lang w:val="en-US"/>
              </w:rPr>
            </w:pPr>
            <w:r>
              <w:rPr>
                <w:rFonts w:cs="Arial"/>
                <w:lang w:val="en-US"/>
              </w:rPr>
              <w:fldChar w:fldCharType="begin">
                <w:ffData>
                  <w:name w:val="Text1"/>
                  <w:enabled/>
                  <w:calcOnExit w:val="0"/>
                  <w:textInput/>
                </w:ffData>
              </w:fldChar>
            </w:r>
            <w:bookmarkStart w:id="0" w:name="Text1"/>
            <w:r>
              <w:rPr>
                <w:rFonts w:cs="Arial"/>
                <w:lang w:val="en-US"/>
              </w:rPr>
              <w:instrText xml:space="preserve"> FORMTEXT </w:instrText>
            </w:r>
            <w:r>
              <w:rPr>
                <w:rFonts w:cs="Arial"/>
                <w:lang w:val="en-US"/>
              </w:rPr>
            </w:r>
            <w:r>
              <w:rPr>
                <w:rFonts w:cs="Arial"/>
                <w:lang w:val="en-US"/>
              </w:rPr>
              <w:fldChar w:fldCharType="separate"/>
            </w:r>
            <w:bookmarkStart w:id="1" w:name="_GoBack"/>
            <w:r w:rsidR="004D7C29">
              <w:rPr>
                <w:rFonts w:cs="Arial"/>
                <w:lang w:val="en-US"/>
              </w:rPr>
              <w:t> </w:t>
            </w:r>
            <w:r w:rsidR="004D7C29">
              <w:rPr>
                <w:rFonts w:cs="Arial"/>
                <w:lang w:val="en-US"/>
              </w:rPr>
              <w:t> </w:t>
            </w:r>
            <w:r w:rsidR="004D7C29">
              <w:rPr>
                <w:rFonts w:cs="Arial"/>
                <w:lang w:val="en-US"/>
              </w:rPr>
              <w:t> </w:t>
            </w:r>
            <w:r w:rsidR="004D7C29">
              <w:rPr>
                <w:rFonts w:cs="Arial"/>
                <w:lang w:val="en-US"/>
              </w:rPr>
              <w:t> </w:t>
            </w:r>
            <w:r w:rsidR="004D7C29">
              <w:rPr>
                <w:rFonts w:cs="Arial"/>
                <w:lang w:val="en-US"/>
              </w:rPr>
              <w:t> </w:t>
            </w:r>
            <w:bookmarkEnd w:id="1"/>
            <w:r>
              <w:rPr>
                <w:rFonts w:cs="Arial"/>
                <w:lang w:val="en-US"/>
              </w:rPr>
              <w:fldChar w:fldCharType="end"/>
            </w:r>
            <w:bookmarkEnd w:id="0"/>
          </w:p>
        </w:tc>
      </w:tr>
    </w:tbl>
    <w:p w14:paraId="1ACADAEB" w14:textId="77777777" w:rsidR="007726DE" w:rsidRPr="00FB5B7C" w:rsidRDefault="007726DE" w:rsidP="007726DE">
      <w:pPr>
        <w:jc w:val="both"/>
        <w:rPr>
          <w:rFonts w:cs="Arial"/>
          <w:sz w:val="16"/>
          <w:szCs w:val="16"/>
          <w:lang w:val="en-US"/>
        </w:rPr>
      </w:pPr>
      <w:r w:rsidRPr="00FB5B7C">
        <w:rPr>
          <w:rFonts w:cs="Arial"/>
          <w:sz w:val="16"/>
          <w:szCs w:val="16"/>
          <w:lang w:val="en-US"/>
        </w:rPr>
        <w:t>First name and family name of the intern</w:t>
      </w:r>
    </w:p>
    <w:p w14:paraId="733D277C" w14:textId="77777777" w:rsidR="007726DE" w:rsidRPr="00FB5B7C" w:rsidRDefault="007726DE" w:rsidP="007726DE">
      <w:pPr>
        <w:jc w:val="both"/>
        <w:rPr>
          <w:rFonts w:cs="Arial"/>
          <w:b/>
          <w:i/>
          <w:u w:val="single"/>
          <w:lang w:val="en-US"/>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F33CBD" w14:paraId="71798E1B" w14:textId="77777777" w:rsidTr="00F33CBD">
        <w:tc>
          <w:tcPr>
            <w:tcW w:w="3823" w:type="dxa"/>
          </w:tcPr>
          <w:p w14:paraId="54E5083A" w14:textId="4E681032" w:rsidR="00F33CBD" w:rsidRDefault="00F33CBD" w:rsidP="00F33CBD">
            <w:pPr>
              <w:ind w:hanging="105"/>
              <w:jc w:val="both"/>
              <w:rPr>
                <w:rFonts w:cs="Arial"/>
                <w:lang w:val="en-US"/>
              </w:rPr>
            </w:pPr>
            <w:r>
              <w:rPr>
                <w:rFonts w:cs="Arial"/>
                <w:lang w:val="en-US"/>
              </w:rPr>
              <w:fldChar w:fldCharType="begin">
                <w:ffData>
                  <w:name w:val="Text2"/>
                  <w:enabled/>
                  <w:calcOnExit w:val="0"/>
                  <w:textInput/>
                </w:ffData>
              </w:fldChar>
            </w:r>
            <w:bookmarkStart w:id="2" w:name="Text2"/>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2"/>
          </w:p>
        </w:tc>
      </w:tr>
    </w:tbl>
    <w:p w14:paraId="5D1224BA" w14:textId="4020D35F" w:rsidR="007726DE" w:rsidRPr="00FB5B7C" w:rsidRDefault="007726DE" w:rsidP="007726DE">
      <w:pPr>
        <w:jc w:val="both"/>
        <w:rPr>
          <w:rFonts w:cs="Arial"/>
          <w:sz w:val="16"/>
          <w:szCs w:val="16"/>
          <w:lang w:val="en-US"/>
        </w:rPr>
      </w:pPr>
      <w:r w:rsidRPr="00FB5B7C">
        <w:rPr>
          <w:rFonts w:cs="Arial"/>
          <w:sz w:val="16"/>
          <w:szCs w:val="16"/>
          <w:lang w:val="en-US"/>
        </w:rPr>
        <w:t>Organizational unit/institute contact person</w:t>
      </w:r>
    </w:p>
    <w:p w14:paraId="1C17D0A2" w14:textId="77777777" w:rsidR="007726DE" w:rsidRPr="00FB5B7C" w:rsidRDefault="007726DE" w:rsidP="007726DE">
      <w:pPr>
        <w:rPr>
          <w:rFonts w:cs="Arial"/>
          <w:sz w:val="16"/>
          <w:szCs w:val="16"/>
          <w:lang w:val="en-US"/>
        </w:rPr>
      </w:pPr>
    </w:p>
    <w:p w14:paraId="58ABA141" w14:textId="77777777" w:rsidR="007726DE" w:rsidRDefault="007726DE" w:rsidP="007726DE">
      <w:pPr>
        <w:rPr>
          <w:rFonts w:cs="Arial"/>
          <w:lang w:val="en-US"/>
        </w:rPr>
      </w:pPr>
    </w:p>
    <w:p w14:paraId="4B56229D" w14:textId="77777777" w:rsidR="007726DE" w:rsidRPr="00FB5B7C" w:rsidRDefault="007726DE" w:rsidP="007726DE">
      <w:pPr>
        <w:rPr>
          <w:rFonts w:cs="Arial"/>
          <w:lang w:val="en-US"/>
        </w:rPr>
      </w:pPr>
    </w:p>
    <w:p w14:paraId="427ABF5F" w14:textId="77777777" w:rsidR="007726DE" w:rsidRPr="00FB5B7C" w:rsidRDefault="007726DE" w:rsidP="007726DE">
      <w:pPr>
        <w:rPr>
          <w:rFonts w:cs="Arial"/>
          <w:b/>
          <w:lang w:val="en-US"/>
        </w:rPr>
      </w:pPr>
      <w:r w:rsidRPr="00FB5B7C">
        <w:rPr>
          <w:rFonts w:cs="Arial"/>
          <w:b/>
          <w:lang w:val="en-US"/>
        </w:rPr>
        <w:t>Information on Compliance with D</w:t>
      </w:r>
      <w:r w:rsidRPr="00A65F3F">
        <w:rPr>
          <w:rFonts w:cs="Arial"/>
          <w:b/>
          <w:lang w:val="en-US"/>
        </w:rPr>
        <w:t>ata Secrecy</w:t>
      </w:r>
    </w:p>
    <w:p w14:paraId="7A0C6D49" w14:textId="77777777" w:rsidR="007726DE" w:rsidRPr="009E4266" w:rsidRDefault="007726DE" w:rsidP="007726DE">
      <w:pPr>
        <w:jc w:val="both"/>
        <w:rPr>
          <w:rFonts w:cs="Arial"/>
          <w:u w:val="single"/>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6A1351" w:rsidRPr="006A1351" w14:paraId="6F6925A3" w14:textId="77777777" w:rsidTr="006A1351">
        <w:tc>
          <w:tcPr>
            <w:tcW w:w="3823" w:type="dxa"/>
          </w:tcPr>
          <w:p w14:paraId="31323D5F" w14:textId="35C6A4C4" w:rsidR="006A1351" w:rsidRPr="006A1351" w:rsidRDefault="006A1351" w:rsidP="006A1351">
            <w:pPr>
              <w:ind w:hanging="105"/>
              <w:jc w:val="both"/>
              <w:rPr>
                <w:rFonts w:cs="Arial"/>
                <w:lang w:val="en-US"/>
              </w:rPr>
            </w:pPr>
            <w:r w:rsidRPr="006A1351">
              <w:rPr>
                <w:rFonts w:cs="Arial"/>
                <w:lang w:val="en-US"/>
              </w:rPr>
              <w:fldChar w:fldCharType="begin">
                <w:ffData>
                  <w:name w:val="Text3"/>
                  <w:enabled/>
                  <w:calcOnExit w:val="0"/>
                  <w:textInput/>
                </w:ffData>
              </w:fldChar>
            </w:r>
            <w:bookmarkStart w:id="3" w:name="Text3"/>
            <w:r w:rsidRPr="006A1351">
              <w:rPr>
                <w:rFonts w:cs="Arial"/>
                <w:lang w:val="en-US"/>
              </w:rPr>
              <w:instrText xml:space="preserve"> FORMTEXT </w:instrText>
            </w:r>
            <w:r w:rsidRPr="006A1351">
              <w:rPr>
                <w:rFonts w:cs="Arial"/>
                <w:lang w:val="en-US"/>
              </w:rPr>
            </w:r>
            <w:r w:rsidRPr="006A1351">
              <w:rPr>
                <w:rFonts w:cs="Arial"/>
                <w:lang w:val="en-US"/>
              </w:rPr>
              <w:fldChar w:fldCharType="separate"/>
            </w:r>
            <w:r>
              <w:rPr>
                <w:rFonts w:cs="Arial"/>
                <w:lang w:val="en-US"/>
              </w:rPr>
              <w:t xml:space="preserve">Dear </w:t>
            </w:r>
            <w:r w:rsidRPr="006A1351">
              <w:rPr>
                <w:rFonts w:cs="Arial"/>
                <w:lang w:val="en-US"/>
              </w:rPr>
              <w:fldChar w:fldCharType="end"/>
            </w:r>
            <w:bookmarkEnd w:id="3"/>
          </w:p>
        </w:tc>
      </w:tr>
    </w:tbl>
    <w:p w14:paraId="216C5996" w14:textId="172F33DE" w:rsidR="007726DE" w:rsidRPr="006A1351" w:rsidRDefault="007726DE" w:rsidP="006A1351">
      <w:pPr>
        <w:jc w:val="both"/>
        <w:rPr>
          <w:rFonts w:cs="Arial"/>
          <w:u w:val="single"/>
          <w:lang w:val="en-US"/>
        </w:rPr>
      </w:pPr>
      <w:r w:rsidRPr="00FB5B7C">
        <w:rPr>
          <w:rFonts w:cs="Arial"/>
          <w:lang w:val="en-US"/>
        </w:rPr>
        <w:tab/>
      </w:r>
    </w:p>
    <w:p w14:paraId="54B58EA8" w14:textId="77777777" w:rsidR="007726DE" w:rsidRPr="00FB5B7C" w:rsidRDefault="007726DE" w:rsidP="007726DE">
      <w:pPr>
        <w:spacing w:after="120" w:line="276" w:lineRule="auto"/>
        <w:jc w:val="both"/>
        <w:rPr>
          <w:rFonts w:cs="Arial"/>
          <w:lang w:val="en-US"/>
        </w:rPr>
      </w:pPr>
      <w:r w:rsidRPr="00FB5B7C">
        <w:rPr>
          <w:rFonts w:cs="Arial"/>
          <w:lang w:val="en-US"/>
        </w:rPr>
        <w:t>This i</w:t>
      </w:r>
      <w:r w:rsidRPr="00A65F3F">
        <w:rPr>
          <w:rFonts w:cs="Arial"/>
          <w:lang w:val="en-US"/>
        </w:rPr>
        <w:t xml:space="preserve">s to inform you </w:t>
      </w:r>
      <w:r>
        <w:rPr>
          <w:rFonts w:cs="Arial"/>
          <w:lang w:val="en-US"/>
        </w:rPr>
        <w:t xml:space="preserve">about your obligation to comply </w:t>
      </w:r>
      <w:r w:rsidRPr="00A65F3F">
        <w:rPr>
          <w:rFonts w:cs="Arial"/>
          <w:lang w:val="en-US"/>
        </w:rPr>
        <w:t>with data secrecy (Article 3, par. 2, Landesdatenschutzgesetz – LDSG (State Data Protection Act)). In</w:t>
      </w:r>
      <w:r w:rsidRPr="00FB5B7C">
        <w:rPr>
          <w:rFonts w:cs="Arial"/>
          <w:lang w:val="en-US"/>
        </w:rPr>
        <w:t xml:space="preserve"> case you are involved in rendering business-related telecommunication</w:t>
      </w:r>
      <w:r>
        <w:rPr>
          <w:rFonts w:cs="Arial"/>
          <w:lang w:val="en-US"/>
        </w:rPr>
        <w:t>s</w:t>
      </w:r>
      <w:r w:rsidRPr="00A65F3F">
        <w:rPr>
          <w:rFonts w:cs="Arial"/>
          <w:lang w:val="en-US"/>
        </w:rPr>
        <w:t xml:space="preserve"> </w:t>
      </w:r>
      <w:r w:rsidRPr="00FB5B7C">
        <w:rPr>
          <w:rFonts w:cs="Arial"/>
          <w:lang w:val="en-US"/>
        </w:rPr>
        <w:t>s</w:t>
      </w:r>
      <w:r w:rsidRPr="00A65F3F">
        <w:rPr>
          <w:rFonts w:cs="Arial"/>
          <w:lang w:val="en-US"/>
        </w:rPr>
        <w:t xml:space="preserve">ervices during your work (e.g. writing of emails), you are also obliged to observe secrecy of telecommunications (Article 88, Telekommunikationsgesetz – TKG (Telecommunications Act)). </w:t>
      </w:r>
    </w:p>
    <w:p w14:paraId="542EA197" w14:textId="77777777" w:rsidR="007726DE" w:rsidRPr="00FB5B7C" w:rsidRDefault="007726DE" w:rsidP="007726DE">
      <w:pPr>
        <w:spacing w:after="120" w:line="276" w:lineRule="auto"/>
        <w:jc w:val="both"/>
        <w:rPr>
          <w:rFonts w:cs="Arial"/>
          <w:lang w:val="en-US"/>
        </w:rPr>
      </w:pPr>
      <w:r w:rsidRPr="00FB5B7C">
        <w:rPr>
          <w:rFonts w:cs="Arial"/>
          <w:lang w:val="en-US"/>
        </w:rPr>
        <w:t>These obligations continue to ap</w:t>
      </w:r>
      <w:r w:rsidRPr="00A65F3F">
        <w:rPr>
          <w:rFonts w:cs="Arial"/>
          <w:lang w:val="en-US"/>
        </w:rPr>
        <w:t xml:space="preserve">ply even after </w:t>
      </w:r>
      <w:r>
        <w:rPr>
          <w:rFonts w:cs="Arial"/>
          <w:lang w:val="en-US"/>
        </w:rPr>
        <w:t>termination</w:t>
      </w:r>
      <w:r w:rsidRPr="00A65F3F">
        <w:rPr>
          <w:rFonts w:cs="Arial"/>
          <w:lang w:val="en-US"/>
        </w:rPr>
        <w:t xml:space="preserve"> of your work at Karlsruhe Institute of Technology</w:t>
      </w:r>
      <w:r w:rsidRPr="00FB5B7C">
        <w:rPr>
          <w:rFonts w:cs="Arial"/>
          <w:lang w:val="en-US"/>
        </w:rPr>
        <w:t xml:space="preserve">. </w:t>
      </w:r>
    </w:p>
    <w:p w14:paraId="1BFA008A" w14:textId="77777777" w:rsidR="007726DE" w:rsidRPr="00FB5B7C" w:rsidRDefault="007726DE" w:rsidP="007726DE">
      <w:pPr>
        <w:spacing w:after="60"/>
        <w:jc w:val="both"/>
        <w:rPr>
          <w:rFonts w:cs="Arial"/>
          <w:lang w:val="en-US"/>
        </w:rPr>
      </w:pPr>
    </w:p>
    <w:p w14:paraId="60F36A13" w14:textId="77777777" w:rsidR="007726DE" w:rsidRPr="00FB5B7C" w:rsidRDefault="007726DE" w:rsidP="007726DE">
      <w:pPr>
        <w:spacing w:after="120" w:line="276" w:lineRule="auto"/>
        <w:rPr>
          <w:rFonts w:cs="Arial"/>
          <w:lang w:val="en-US"/>
        </w:rPr>
      </w:pPr>
      <w:r w:rsidRPr="00FB5B7C">
        <w:rPr>
          <w:rFonts w:cs="Arial"/>
          <w:u w:val="single"/>
          <w:lang w:val="en-US"/>
        </w:rPr>
        <w:t>In detail, this means</w:t>
      </w:r>
      <w:r w:rsidRPr="00FB5B7C">
        <w:rPr>
          <w:rFonts w:cs="Arial"/>
          <w:lang w:val="en-US"/>
        </w:rPr>
        <w:t>:</w:t>
      </w:r>
    </w:p>
    <w:p w14:paraId="753940BA" w14:textId="77777777" w:rsidR="007726DE" w:rsidRPr="00FB5B7C" w:rsidRDefault="007726DE" w:rsidP="007726DE">
      <w:pPr>
        <w:spacing w:after="120" w:line="276" w:lineRule="auto"/>
        <w:jc w:val="both"/>
        <w:rPr>
          <w:rFonts w:cs="Arial"/>
          <w:lang w:val="en-US"/>
        </w:rPr>
      </w:pPr>
      <w:r w:rsidRPr="00FB5B7C">
        <w:rPr>
          <w:rFonts w:cs="Arial"/>
          <w:lang w:val="en-US"/>
        </w:rPr>
        <w:t>Yo</w:t>
      </w:r>
      <w:r w:rsidRPr="00A65F3F">
        <w:rPr>
          <w:rFonts w:cs="Arial"/>
          <w:lang w:val="en-US"/>
        </w:rPr>
        <w:t>u are not allowed to process or use personal data in an unauthorized manner.</w:t>
      </w:r>
      <w:r>
        <w:rPr>
          <w:rFonts w:cs="Arial"/>
          <w:lang w:val="en-US"/>
        </w:rPr>
        <w:t xml:space="preserve"> Y</w:t>
      </w:r>
      <w:r w:rsidRPr="00A65F3F">
        <w:rPr>
          <w:rFonts w:cs="Arial"/>
          <w:lang w:val="en-US"/>
        </w:rPr>
        <w:t>ou are only allowed to store,</w:t>
      </w:r>
      <w:r w:rsidRPr="00FB5B7C">
        <w:rPr>
          <w:rFonts w:cs="Arial"/>
          <w:lang w:val="en-US"/>
        </w:rPr>
        <w:t xml:space="preserve"> modify, t</w:t>
      </w:r>
      <w:r w:rsidRPr="00A65F3F">
        <w:rPr>
          <w:rFonts w:cs="Arial"/>
          <w:lang w:val="en-US"/>
        </w:rPr>
        <w:t xml:space="preserve">ransmit to third persons, or use personal data of colleagues and other external partners to the extent required for company purposes, provided that this </w:t>
      </w:r>
      <w:proofErr w:type="gramStart"/>
      <w:r w:rsidRPr="00A65F3F">
        <w:rPr>
          <w:rFonts w:cs="Arial"/>
          <w:lang w:val="en-US"/>
        </w:rPr>
        <w:t>is in agreement</w:t>
      </w:r>
      <w:proofErr w:type="gramEnd"/>
      <w:r w:rsidRPr="00A65F3F">
        <w:rPr>
          <w:rFonts w:cs="Arial"/>
          <w:lang w:val="en-US"/>
        </w:rPr>
        <w:t xml:space="preserve"> with data protection regulations. In addition, you are obliged n</w:t>
      </w:r>
      <w:r w:rsidRPr="00FB5B7C">
        <w:rPr>
          <w:rFonts w:cs="Arial"/>
          <w:lang w:val="en-US"/>
        </w:rPr>
        <w:t>ot to disclose any i</w:t>
      </w:r>
      <w:r w:rsidRPr="00A65F3F">
        <w:rPr>
          <w:rFonts w:cs="Arial"/>
          <w:lang w:val="en-US"/>
        </w:rPr>
        <w:t xml:space="preserve">nformation obtained during your work on circumstances and contents of personal documents. </w:t>
      </w:r>
    </w:p>
    <w:p w14:paraId="30751A01" w14:textId="20F1402E" w:rsidR="007726DE" w:rsidRPr="00FB5B7C" w:rsidRDefault="007726DE" w:rsidP="007726DE">
      <w:pPr>
        <w:spacing w:after="120" w:line="276" w:lineRule="auto"/>
        <w:jc w:val="both"/>
        <w:rPr>
          <w:rFonts w:cs="Arial"/>
          <w:lang w:val="en-US"/>
        </w:rPr>
      </w:pPr>
      <w:r w:rsidRPr="00FB5B7C">
        <w:rPr>
          <w:rFonts w:cs="Arial"/>
          <w:lang w:val="en-US"/>
        </w:rPr>
        <w:t>Violations of data secrecy o</w:t>
      </w:r>
      <w:r w:rsidRPr="00A65F3F">
        <w:rPr>
          <w:rFonts w:cs="Arial"/>
          <w:lang w:val="en-US"/>
        </w:rPr>
        <w:t>r other data protection regulations, in particular unauthorized data processing or fraudulent use of legally protected data</w:t>
      </w:r>
      <w:r>
        <w:rPr>
          <w:rFonts w:cs="Arial"/>
          <w:lang w:val="en-US"/>
        </w:rPr>
        <w:t>,</w:t>
      </w:r>
      <w:r w:rsidRPr="00A65F3F">
        <w:rPr>
          <w:rFonts w:cs="Arial"/>
          <w:lang w:val="en-US"/>
        </w:rPr>
        <w:t xml:space="preserve"> may be punished by a fine or imprisonment according to Article 84 Datenschutzgrundverordnung</w:t>
      </w:r>
      <w:r>
        <w:rPr>
          <w:rFonts w:cs="Arial"/>
          <w:lang w:val="en-US"/>
        </w:rPr>
        <w:t>-</w:t>
      </w:r>
      <w:r w:rsidRPr="00FB5B7C">
        <w:rPr>
          <w:rFonts w:cs="Arial"/>
          <w:lang w:val="en-US"/>
        </w:rPr>
        <w:t xml:space="preserve">DS-GVO </w:t>
      </w:r>
      <w:r w:rsidRPr="00A65F3F">
        <w:rPr>
          <w:rFonts w:cs="Arial"/>
          <w:lang w:val="en-US"/>
        </w:rPr>
        <w:t>(General Data Protection Regulations (GDPR)) in conjunction with Article 29, par. 1, LDSG.</w:t>
      </w:r>
    </w:p>
    <w:p w14:paraId="17736AB6" w14:textId="16BD2320" w:rsidR="007726DE" w:rsidRPr="00FB5B7C" w:rsidRDefault="007726DE" w:rsidP="007726DE">
      <w:pPr>
        <w:spacing w:after="120" w:line="276" w:lineRule="auto"/>
        <w:jc w:val="both"/>
        <w:rPr>
          <w:rFonts w:cs="Arial"/>
          <w:lang w:val="en-US"/>
        </w:rPr>
      </w:pPr>
    </w:p>
    <w:p w14:paraId="41D1937F" w14:textId="602F9616" w:rsidR="007726DE" w:rsidRPr="00FB5B7C" w:rsidRDefault="007726DE" w:rsidP="007726DE">
      <w:pPr>
        <w:spacing w:after="120" w:line="276" w:lineRule="auto"/>
        <w:jc w:val="both"/>
        <w:rPr>
          <w:rFonts w:cs="Arial"/>
          <w:b/>
          <w:lang w:val="en-US"/>
        </w:rPr>
      </w:pPr>
      <w:r w:rsidRPr="00A65F3F">
        <w:rPr>
          <w:rFonts w:cs="Arial"/>
          <w:lang w:val="en-US"/>
        </w:rPr>
        <w:t xml:space="preserve">By signing this document, you confirm that you </w:t>
      </w:r>
      <w:r>
        <w:rPr>
          <w:rFonts w:cs="Arial"/>
          <w:lang w:val="en-US"/>
        </w:rPr>
        <w:t>have been</w:t>
      </w:r>
      <w:r w:rsidRPr="00A65F3F">
        <w:rPr>
          <w:rFonts w:cs="Arial"/>
          <w:lang w:val="en-US"/>
        </w:rPr>
        <w:t xml:space="preserve"> informed about data secrecy. </w:t>
      </w:r>
      <w:r w:rsidRPr="0064136B">
        <w:rPr>
          <w:rFonts w:cs="Arial"/>
          <w:b/>
          <w:lang w:val="en-US"/>
        </w:rPr>
        <w:t xml:space="preserve">I </w:t>
      </w:r>
      <w:r w:rsidRPr="00FB5B7C">
        <w:rPr>
          <w:rFonts w:cs="Arial"/>
          <w:b/>
          <w:lang w:val="en-US"/>
        </w:rPr>
        <w:t xml:space="preserve">have been informed about the legal obligation to comply with data secrecy. In addition, I have been informed about the resulting practices. </w:t>
      </w:r>
    </w:p>
    <w:p w14:paraId="20143EA3" w14:textId="1E4AE6BE" w:rsidR="007726DE" w:rsidRPr="00FB5B7C" w:rsidRDefault="00855C71" w:rsidP="007726DE">
      <w:pPr>
        <w:spacing w:after="60"/>
        <w:jc w:val="both"/>
        <w:rPr>
          <w:rFonts w:cs="Arial"/>
          <w:b/>
          <w:lang w:val="en-US"/>
        </w:rPr>
      </w:pPr>
      <w:r w:rsidRPr="00FB5B7C">
        <w:rPr>
          <w:rFonts w:cs="Arial"/>
          <w:noProof/>
          <w:lang w:eastAsia="de-DE"/>
        </w:rPr>
        <mc:AlternateContent>
          <mc:Choice Requires="wps">
            <w:drawing>
              <wp:anchor distT="0" distB="0" distL="114300" distR="114300" simplePos="0" relativeHeight="251661312" behindDoc="0" locked="0" layoutInCell="1" allowOverlap="1" wp14:anchorId="3A49FE8A" wp14:editId="674206B7">
                <wp:simplePos x="0" y="0"/>
                <wp:positionH relativeFrom="leftMargin">
                  <wp:posOffset>-1307147</wp:posOffset>
                </wp:positionH>
                <wp:positionV relativeFrom="paragraph">
                  <wp:posOffset>303848</wp:posOffset>
                </wp:positionV>
                <wp:extent cx="3543300" cy="233046"/>
                <wp:effectExtent l="0" t="2223" r="16828" b="16827"/>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3543300" cy="233046"/>
                        </a:xfrm>
                        <a:prstGeom prst="rect">
                          <a:avLst/>
                        </a:prstGeom>
                        <a:solidFill>
                          <a:srgbClr val="FFFFFF"/>
                        </a:solidFill>
                        <a:ln w="9525">
                          <a:solidFill>
                            <a:srgbClr val="FFFFFF"/>
                          </a:solidFill>
                          <a:miter lim="800000"/>
                          <a:headEnd/>
                          <a:tailEnd/>
                        </a:ln>
                      </wps:spPr>
                      <wps:txbx>
                        <w:txbxContent>
                          <w:p w14:paraId="40AB601A" w14:textId="2DD7954F" w:rsidR="007726DE" w:rsidRPr="00855C71" w:rsidRDefault="00855C71" w:rsidP="007726DE">
                            <w:pPr>
                              <w:rPr>
                                <w:rFonts w:cs="Arial"/>
                                <w:b/>
                                <w:sz w:val="18"/>
                                <w:szCs w:val="12"/>
                              </w:rPr>
                            </w:pPr>
                            <w:r w:rsidRPr="00855C71">
                              <w:rPr>
                                <w:rFonts w:eastAsia="Times New Roman" w:cs="Arial"/>
                                <w:b/>
                                <w:sz w:val="18"/>
                                <w:szCs w:val="12"/>
                              </w:rPr>
                              <w:t>PSE_PRAK_Wahrung-Datengeheimnisses_EN_2024-03-13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9FE8A" id="Rechteck 5" o:spid="_x0000_s1026" style="position:absolute;left:0;text-align:left;margin-left:-102.9pt;margin-top:23.95pt;width:279pt;height:18.35pt;rotation:90;flip:x;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" strokecolor="white">
                <v:textbox style="layout-flow:vertical;mso-layout-flow-alt:bottom-to-top">
                  <w:txbxContent>
                    <w:p w14:paraId="40AB601A" w14:textId="2DD7954F" w:rsidR="007726DE" w:rsidRPr="00855C71" w:rsidRDefault="00855C71" w:rsidP="007726DE">
                      <w:pPr>
                        <w:rPr>
                          <w:rFonts w:cs="Arial"/>
                          <w:b/>
                          <w:sz w:val="18"/>
                          <w:szCs w:val="12"/>
                        </w:rPr>
                      </w:pPr>
                      <w:r w:rsidRPr="00855C71">
                        <w:rPr>
                          <w:rFonts w:eastAsia="Times New Roman" w:cs="Arial"/>
                          <w:b/>
                          <w:sz w:val="18"/>
                          <w:szCs w:val="12"/>
                        </w:rPr>
                        <w:t>PSE_PRAK_Wahrung-Datengeheimnisses_EN_2024-03-13</w:t>
                      </w:r>
                    </w:p>
                  </w:txbxContent>
                </v:textbox>
                <w10:wrap anchorx="margin"/>
              </v:rect>
            </w:pict>
          </mc:Fallback>
        </mc:AlternateContent>
      </w:r>
    </w:p>
    <w:p w14:paraId="43B3C257" w14:textId="427739B0" w:rsidR="007726DE" w:rsidRPr="00FB5B7C" w:rsidRDefault="007726DE" w:rsidP="007726DE">
      <w:pPr>
        <w:spacing w:after="120"/>
        <w:jc w:val="both"/>
        <w:rPr>
          <w:rFonts w:cs="Arial"/>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228"/>
        <w:gridCol w:w="3260"/>
      </w:tblGrid>
      <w:tr w:rsidR="006A1351" w14:paraId="15F9C8E8" w14:textId="77777777" w:rsidTr="006A1351">
        <w:tc>
          <w:tcPr>
            <w:tcW w:w="3020" w:type="dxa"/>
            <w:tcBorders>
              <w:bottom w:val="single" w:sz="4" w:space="0" w:color="auto"/>
            </w:tcBorders>
          </w:tcPr>
          <w:p w14:paraId="58B6F5AA" w14:textId="68153082" w:rsidR="006A1351" w:rsidRDefault="006A1351" w:rsidP="006A1351">
            <w:pPr>
              <w:ind w:hanging="105"/>
              <w:jc w:val="both"/>
              <w:rPr>
                <w:rFonts w:cs="Arial"/>
                <w:lang w:val="en-US"/>
              </w:rPr>
            </w:pPr>
            <w:r>
              <w:rPr>
                <w:rFonts w:cs="Arial"/>
                <w:lang w:val="en-US"/>
              </w:rPr>
              <w:fldChar w:fldCharType="begin">
                <w:ffData>
                  <w:name w:val="Text4"/>
                  <w:enabled/>
                  <w:calcOnExit w:val="0"/>
                  <w:textInput/>
                </w:ffData>
              </w:fldChar>
            </w:r>
            <w:bookmarkStart w:id="4" w:name="Text4"/>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4"/>
          </w:p>
        </w:tc>
        <w:tc>
          <w:tcPr>
            <w:tcW w:w="1228" w:type="dxa"/>
          </w:tcPr>
          <w:p w14:paraId="7DFB5831" w14:textId="77777777" w:rsidR="006A1351" w:rsidRDefault="006A1351" w:rsidP="006A1351">
            <w:pPr>
              <w:jc w:val="both"/>
              <w:rPr>
                <w:rFonts w:cs="Arial"/>
                <w:lang w:val="en-US"/>
              </w:rPr>
            </w:pPr>
          </w:p>
        </w:tc>
        <w:tc>
          <w:tcPr>
            <w:tcW w:w="3260" w:type="dxa"/>
            <w:tcBorders>
              <w:bottom w:val="single" w:sz="4" w:space="0" w:color="auto"/>
            </w:tcBorders>
          </w:tcPr>
          <w:p w14:paraId="2E733D0C" w14:textId="77777777" w:rsidR="006A1351" w:rsidRDefault="006A1351" w:rsidP="006A1351">
            <w:pPr>
              <w:jc w:val="both"/>
              <w:rPr>
                <w:rFonts w:cs="Arial"/>
                <w:lang w:val="en-US"/>
              </w:rPr>
            </w:pPr>
          </w:p>
        </w:tc>
      </w:tr>
    </w:tbl>
    <w:p w14:paraId="6680BC80" w14:textId="02660142" w:rsidR="007726DE" w:rsidRPr="00FB5B7C" w:rsidRDefault="007726DE" w:rsidP="007726DE">
      <w:pPr>
        <w:spacing w:after="120"/>
        <w:jc w:val="both"/>
        <w:rPr>
          <w:rFonts w:cs="Arial"/>
          <w:lang w:val="en-US"/>
        </w:rPr>
      </w:pPr>
      <w:r w:rsidRPr="00FB5B7C">
        <w:rPr>
          <w:rFonts w:cs="Arial"/>
          <w:lang w:val="en-US"/>
        </w:rPr>
        <w:t xml:space="preserve">Date </w:t>
      </w:r>
      <w:r w:rsidRPr="00FB5B7C">
        <w:rPr>
          <w:rFonts w:cs="Arial"/>
          <w:lang w:val="en-US"/>
        </w:rPr>
        <w:tab/>
      </w:r>
      <w:r w:rsidRPr="00FB5B7C">
        <w:rPr>
          <w:rFonts w:cs="Arial"/>
          <w:lang w:val="en-US"/>
        </w:rPr>
        <w:tab/>
      </w:r>
      <w:r w:rsidRPr="00FB5B7C">
        <w:rPr>
          <w:rFonts w:cs="Arial"/>
          <w:lang w:val="en-US"/>
        </w:rPr>
        <w:tab/>
      </w:r>
      <w:r w:rsidRPr="00FB5B7C">
        <w:rPr>
          <w:rFonts w:cs="Arial"/>
          <w:lang w:val="en-US"/>
        </w:rPr>
        <w:tab/>
      </w:r>
      <w:r w:rsidRPr="00FB5B7C">
        <w:rPr>
          <w:rFonts w:cs="Arial"/>
          <w:lang w:val="en-US"/>
        </w:rPr>
        <w:tab/>
      </w:r>
      <w:r w:rsidRPr="00FB5B7C">
        <w:rPr>
          <w:rFonts w:cs="Arial"/>
          <w:lang w:val="en-US"/>
        </w:rPr>
        <w:tab/>
        <w:t>Intern’s Signature</w:t>
      </w:r>
    </w:p>
    <w:p w14:paraId="73CC5FE0" w14:textId="77777777" w:rsidR="007726DE" w:rsidRPr="00FB5B7C" w:rsidRDefault="007726DE" w:rsidP="007726DE">
      <w:pPr>
        <w:spacing w:after="120"/>
        <w:jc w:val="both"/>
        <w:rPr>
          <w:rFonts w:cs="Arial"/>
          <w:u w:val="single"/>
          <w:lang w:val="en-US"/>
        </w:rPr>
      </w:pPr>
    </w:p>
    <w:p w14:paraId="3B6F8473" w14:textId="77777777" w:rsidR="009A07E3" w:rsidRDefault="009A07E3" w:rsidP="007726DE">
      <w:pPr>
        <w:spacing w:after="120"/>
        <w:jc w:val="both"/>
        <w:rPr>
          <w:rFonts w:cs="Arial"/>
          <w:u w:val="single"/>
          <w:lang w:val="en-US"/>
        </w:rPr>
      </w:pPr>
    </w:p>
    <w:p w14:paraId="6760C200" w14:textId="77777777" w:rsidR="009A07E3" w:rsidRDefault="009A07E3" w:rsidP="007726DE">
      <w:pPr>
        <w:spacing w:after="120"/>
        <w:jc w:val="both"/>
        <w:rPr>
          <w:rFonts w:cs="Arial"/>
          <w:u w:val="single"/>
          <w:lang w:val="en-US"/>
        </w:rPr>
      </w:pPr>
    </w:p>
    <w:p w14:paraId="4BE93D6B" w14:textId="77777777" w:rsidR="003D74FA" w:rsidRDefault="003D74FA" w:rsidP="007726DE">
      <w:pPr>
        <w:spacing w:after="120"/>
        <w:jc w:val="both"/>
        <w:rPr>
          <w:rFonts w:cs="Arial"/>
          <w:u w:val="single"/>
          <w:lang w:val="en-US"/>
        </w:rPr>
      </w:pPr>
    </w:p>
    <w:p w14:paraId="02870B5D" w14:textId="70A02CF2" w:rsidR="007726DE" w:rsidRPr="00FB5B7C" w:rsidRDefault="007726DE" w:rsidP="007726DE">
      <w:pPr>
        <w:spacing w:after="120"/>
        <w:jc w:val="both"/>
        <w:rPr>
          <w:rFonts w:cs="Arial"/>
          <w:u w:val="single"/>
          <w:lang w:val="en-US"/>
        </w:rPr>
      </w:pPr>
      <w:r w:rsidRPr="00FB5B7C">
        <w:rPr>
          <w:rFonts w:cs="Arial"/>
          <w:u w:val="single"/>
          <w:lang w:val="en-US"/>
        </w:rPr>
        <w:lastRenderedPageBreak/>
        <w:t>Annex:</w:t>
      </w:r>
    </w:p>
    <w:p w14:paraId="11CBB359" w14:textId="77777777" w:rsidR="007726DE" w:rsidRPr="00FB5B7C" w:rsidRDefault="007726DE" w:rsidP="007726DE">
      <w:pPr>
        <w:pStyle w:val="Listenabsatz"/>
        <w:numPr>
          <w:ilvl w:val="0"/>
          <w:numId w:val="1"/>
        </w:numPr>
        <w:spacing w:after="120"/>
        <w:jc w:val="both"/>
        <w:rPr>
          <w:rFonts w:cs="Arial"/>
          <w:sz w:val="22"/>
          <w:szCs w:val="22"/>
          <w:lang w:val="en-US"/>
        </w:rPr>
      </w:pPr>
      <w:r w:rsidRPr="00FB5B7C">
        <w:rPr>
          <w:rFonts w:cs="Arial"/>
          <w:sz w:val="22"/>
          <w:szCs w:val="22"/>
          <w:lang w:val="en-US"/>
        </w:rPr>
        <w:t>Article 4, GDPR [</w:t>
      </w:r>
      <w:r w:rsidRPr="00A65F3F">
        <w:rPr>
          <w:rFonts w:cs="Arial"/>
          <w:sz w:val="22"/>
          <w:szCs w:val="22"/>
          <w:lang w:val="en-US"/>
        </w:rPr>
        <w:t>E</w:t>
      </w:r>
      <w:r w:rsidRPr="00FB5B7C">
        <w:rPr>
          <w:rFonts w:cs="Arial"/>
          <w:sz w:val="22"/>
          <w:szCs w:val="22"/>
          <w:lang w:val="en-US"/>
        </w:rPr>
        <w:t xml:space="preserve">xcerpt] “Personal </w:t>
      </w:r>
      <w:proofErr w:type="gramStart"/>
      <w:r w:rsidRPr="00FB5B7C">
        <w:rPr>
          <w:rFonts w:cs="Arial"/>
          <w:sz w:val="22"/>
          <w:szCs w:val="22"/>
          <w:lang w:val="en-US"/>
        </w:rPr>
        <w:t>Data“</w:t>
      </w:r>
      <w:proofErr w:type="gramEnd"/>
      <w:r w:rsidRPr="00FB5B7C">
        <w:rPr>
          <w:rFonts w:cs="Arial"/>
          <w:sz w:val="22"/>
          <w:szCs w:val="22"/>
          <w:lang w:val="en-US"/>
        </w:rPr>
        <w:t xml:space="preserve"> </w:t>
      </w:r>
    </w:p>
    <w:p w14:paraId="4EAC1887" w14:textId="77777777" w:rsidR="007726DE" w:rsidRPr="00FB5B7C" w:rsidRDefault="007726DE" w:rsidP="007726DE">
      <w:pPr>
        <w:pStyle w:val="Listenabsatz"/>
        <w:numPr>
          <w:ilvl w:val="0"/>
          <w:numId w:val="1"/>
        </w:numPr>
        <w:spacing w:after="120"/>
        <w:jc w:val="both"/>
        <w:rPr>
          <w:rFonts w:cs="Arial"/>
          <w:sz w:val="22"/>
          <w:szCs w:val="22"/>
          <w:lang w:val="en-US"/>
        </w:rPr>
      </w:pPr>
      <w:r w:rsidRPr="00FB5B7C">
        <w:rPr>
          <w:rFonts w:cs="Arial"/>
          <w:sz w:val="22"/>
          <w:szCs w:val="22"/>
          <w:lang w:val="en-US"/>
        </w:rPr>
        <w:t>Article 3</w:t>
      </w:r>
      <w:r>
        <w:rPr>
          <w:rFonts w:cs="Arial"/>
          <w:sz w:val="22"/>
          <w:szCs w:val="22"/>
          <w:lang w:val="en-US"/>
        </w:rPr>
        <w:t>,</w:t>
      </w:r>
      <w:r w:rsidRPr="00FB5B7C">
        <w:rPr>
          <w:rFonts w:cs="Arial"/>
          <w:sz w:val="22"/>
          <w:szCs w:val="22"/>
          <w:lang w:val="en-US"/>
        </w:rPr>
        <w:t xml:space="preserve"> LDSG “Ensuring Data </w:t>
      </w:r>
      <w:proofErr w:type="gramStart"/>
      <w:r w:rsidRPr="00FB5B7C">
        <w:rPr>
          <w:rFonts w:cs="Arial"/>
          <w:sz w:val="22"/>
          <w:szCs w:val="22"/>
          <w:lang w:val="en-US"/>
        </w:rPr>
        <w:t>Pr</w:t>
      </w:r>
      <w:r w:rsidRPr="00A65F3F">
        <w:rPr>
          <w:rFonts w:cs="Arial"/>
          <w:sz w:val="22"/>
          <w:szCs w:val="22"/>
          <w:lang w:val="en-US"/>
        </w:rPr>
        <w:t>otection</w:t>
      </w:r>
      <w:r w:rsidRPr="00FB5B7C">
        <w:rPr>
          <w:rFonts w:cs="Arial"/>
          <w:sz w:val="22"/>
          <w:szCs w:val="22"/>
          <w:lang w:val="en-US"/>
        </w:rPr>
        <w:t>“</w:t>
      </w:r>
      <w:proofErr w:type="gramEnd"/>
    </w:p>
    <w:p w14:paraId="3B35D08E" w14:textId="77777777" w:rsidR="007726DE" w:rsidRPr="00FB5B7C" w:rsidRDefault="007726DE" w:rsidP="007726DE">
      <w:pPr>
        <w:pStyle w:val="Listenabsatz"/>
        <w:numPr>
          <w:ilvl w:val="0"/>
          <w:numId w:val="1"/>
        </w:numPr>
        <w:spacing w:after="120"/>
        <w:jc w:val="both"/>
        <w:rPr>
          <w:rFonts w:cs="Arial"/>
          <w:sz w:val="22"/>
          <w:szCs w:val="22"/>
          <w:lang w:val="en-US"/>
        </w:rPr>
      </w:pPr>
      <w:r w:rsidRPr="00FB5B7C">
        <w:rPr>
          <w:rFonts w:cs="Arial"/>
          <w:sz w:val="22"/>
          <w:szCs w:val="22"/>
          <w:lang w:val="en-US"/>
        </w:rPr>
        <w:t>Article 29</w:t>
      </w:r>
      <w:r>
        <w:rPr>
          <w:rFonts w:cs="Arial"/>
          <w:sz w:val="22"/>
          <w:szCs w:val="22"/>
          <w:lang w:val="en-US"/>
        </w:rPr>
        <w:t>,</w:t>
      </w:r>
      <w:r w:rsidRPr="00FB5B7C">
        <w:rPr>
          <w:rFonts w:cs="Arial"/>
          <w:sz w:val="22"/>
          <w:szCs w:val="22"/>
          <w:lang w:val="en-US"/>
        </w:rPr>
        <w:t xml:space="preserve"> LDSG “Penal </w:t>
      </w:r>
      <w:proofErr w:type="gramStart"/>
      <w:r w:rsidRPr="00FB5B7C">
        <w:rPr>
          <w:rFonts w:cs="Arial"/>
          <w:sz w:val="22"/>
          <w:szCs w:val="22"/>
          <w:lang w:val="en-US"/>
        </w:rPr>
        <w:t>Provisions“</w:t>
      </w:r>
      <w:proofErr w:type="gramEnd"/>
      <w:r w:rsidRPr="00FB5B7C">
        <w:rPr>
          <w:rFonts w:cs="Arial"/>
          <w:sz w:val="22"/>
          <w:szCs w:val="22"/>
          <w:lang w:val="en-US"/>
        </w:rPr>
        <w:t xml:space="preserve"> </w:t>
      </w:r>
    </w:p>
    <w:p w14:paraId="1A8EA570" w14:textId="77777777" w:rsidR="007726DE" w:rsidRPr="00FB5B7C" w:rsidRDefault="007726DE" w:rsidP="007726DE">
      <w:pPr>
        <w:shd w:val="clear" w:color="auto" w:fill="FFFFFF"/>
        <w:spacing w:before="375" w:line="312" w:lineRule="atLeast"/>
        <w:textAlignment w:val="baseline"/>
        <w:outlineLvl w:val="0"/>
        <w:rPr>
          <w:rFonts w:cs="Arial"/>
          <w:b/>
          <w:bCs/>
          <w:color w:val="222222"/>
          <w:kern w:val="36"/>
          <w:lang w:val="en-US"/>
        </w:rPr>
      </w:pPr>
    </w:p>
    <w:p w14:paraId="6D6D88F6" w14:textId="77777777" w:rsidR="007726DE" w:rsidRPr="00FB5B7C" w:rsidRDefault="007726DE" w:rsidP="007726DE">
      <w:pPr>
        <w:shd w:val="clear" w:color="auto" w:fill="FFFFFF"/>
        <w:spacing w:before="375" w:line="360" w:lineRule="auto"/>
        <w:jc w:val="both"/>
        <w:textAlignment w:val="baseline"/>
        <w:outlineLvl w:val="0"/>
        <w:rPr>
          <w:rFonts w:cs="Arial"/>
          <w:b/>
          <w:bCs/>
          <w:color w:val="222222"/>
          <w:kern w:val="36"/>
          <w:lang w:val="en-US"/>
        </w:rPr>
      </w:pPr>
      <w:r w:rsidRPr="00FB5B7C">
        <w:rPr>
          <w:rFonts w:cs="Arial"/>
          <w:b/>
          <w:bCs/>
          <w:color w:val="222222"/>
          <w:kern w:val="36"/>
          <w:lang w:val="en-US"/>
        </w:rPr>
        <w:t>Article 4, No. 1 General Data Protection Regulation [Excerpt]</w:t>
      </w:r>
    </w:p>
    <w:p w14:paraId="1E2C25F4" w14:textId="77777777" w:rsidR="007726DE" w:rsidRPr="00FB5B7C" w:rsidRDefault="007726DE" w:rsidP="007726DE">
      <w:pPr>
        <w:shd w:val="clear" w:color="auto" w:fill="FFFFFF"/>
        <w:textAlignment w:val="baseline"/>
        <w:rPr>
          <w:rFonts w:cs="Arial"/>
          <w:color w:val="222222"/>
          <w:lang w:val="en-US"/>
        </w:rPr>
      </w:pPr>
      <w:r w:rsidRPr="00FB5B7C">
        <w:rPr>
          <w:rFonts w:cs="Arial"/>
          <w:color w:val="222222"/>
          <w:lang w:val="en-US"/>
        </w:rPr>
        <w:t xml:space="preserve">According to this regulation, </w:t>
      </w:r>
    </w:p>
    <w:p w14:paraId="1EB8BA5D" w14:textId="77777777" w:rsidR="007726DE" w:rsidRPr="00FB5B7C" w:rsidRDefault="007726DE" w:rsidP="007726DE">
      <w:pPr>
        <w:shd w:val="clear" w:color="auto" w:fill="FFFFFF"/>
        <w:textAlignment w:val="baseline"/>
        <w:rPr>
          <w:rFonts w:cs="Arial"/>
          <w:color w:val="222222"/>
          <w:lang w:val="en-US"/>
        </w:rPr>
      </w:pPr>
    </w:p>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56"/>
      </w:tblGrid>
      <w:tr w:rsidR="007726DE" w:rsidRPr="00A65F3F" w14:paraId="77B7F53A" w14:textId="77777777" w:rsidTr="00FC6B66">
        <w:trPr>
          <w:trHeight w:val="2394"/>
        </w:trPr>
        <w:tc>
          <w:tcPr>
            <w:tcW w:w="851" w:type="dxa"/>
            <w:shd w:val="clear" w:color="auto" w:fill="auto"/>
          </w:tcPr>
          <w:p w14:paraId="2FD24885" w14:textId="659F2F57" w:rsidR="007726DE" w:rsidRPr="00FB5B7C" w:rsidRDefault="007726DE" w:rsidP="00E76DDB">
            <w:pPr>
              <w:spacing w:line="360" w:lineRule="auto"/>
              <w:jc w:val="both"/>
              <w:rPr>
                <w:rFonts w:cs="Arial"/>
                <w:color w:val="222222"/>
                <w:sz w:val="22"/>
                <w:szCs w:val="22"/>
                <w:lang w:val="en-US"/>
              </w:rPr>
            </w:pPr>
            <w:r w:rsidRPr="00FB5B7C">
              <w:rPr>
                <w:rFonts w:cs="Arial"/>
                <w:color w:val="222222"/>
                <w:sz w:val="22"/>
                <w:szCs w:val="22"/>
                <w:lang w:val="en-US"/>
              </w:rPr>
              <w:t>No.</w:t>
            </w:r>
            <w:r w:rsidR="00FC6B66">
              <w:rPr>
                <w:rFonts w:cs="Arial"/>
                <w:color w:val="222222"/>
                <w:sz w:val="22"/>
                <w:szCs w:val="22"/>
                <w:lang w:val="en-US"/>
              </w:rPr>
              <w:t xml:space="preserve"> </w:t>
            </w:r>
            <w:r w:rsidRPr="00FB5B7C">
              <w:rPr>
                <w:rFonts w:cs="Arial"/>
                <w:color w:val="222222"/>
                <w:sz w:val="22"/>
                <w:szCs w:val="22"/>
                <w:lang w:val="en-US"/>
              </w:rPr>
              <w:t>1</w:t>
            </w:r>
          </w:p>
        </w:tc>
        <w:tc>
          <w:tcPr>
            <w:tcW w:w="8356" w:type="dxa"/>
            <w:shd w:val="clear" w:color="auto" w:fill="auto"/>
          </w:tcPr>
          <w:p w14:paraId="3134DBC7" w14:textId="77777777" w:rsidR="007726DE" w:rsidRPr="00FB5B7C" w:rsidRDefault="007726DE" w:rsidP="00E76DDB">
            <w:pPr>
              <w:spacing w:line="276" w:lineRule="auto"/>
              <w:jc w:val="both"/>
              <w:rPr>
                <w:rFonts w:cs="Arial"/>
                <w:sz w:val="22"/>
                <w:szCs w:val="22"/>
                <w:lang w:val="en-US"/>
              </w:rPr>
            </w:pPr>
            <w:r w:rsidRPr="00FB5B7C">
              <w:rPr>
                <w:rFonts w:cs="Arial"/>
                <w:sz w:val="22"/>
                <w:szCs w:val="22"/>
                <w:lang w:val="en-US"/>
              </w:rPr>
              <w:t>“</w:t>
            </w:r>
            <w:r>
              <w:rPr>
                <w:rFonts w:cs="Arial"/>
                <w:sz w:val="22"/>
                <w:szCs w:val="22"/>
                <w:lang w:val="en-US"/>
              </w:rPr>
              <w:t>p</w:t>
            </w:r>
            <w:r w:rsidRPr="00FB5B7C">
              <w:rPr>
                <w:rFonts w:cs="Arial"/>
                <w:sz w:val="22"/>
                <w:szCs w:val="22"/>
                <w:lang w:val="en-US"/>
              </w:rPr>
              <w:t xml:space="preserve">ersonal data“ are all data referring to an identified or identifiable natural person (hereinafter </w:t>
            </w:r>
            <w:r>
              <w:rPr>
                <w:rFonts w:cs="Arial"/>
                <w:sz w:val="22"/>
                <w:szCs w:val="22"/>
                <w:lang w:val="en-US"/>
              </w:rPr>
              <w:t>called</w:t>
            </w:r>
            <w:r w:rsidRPr="00FB5B7C">
              <w:rPr>
                <w:rFonts w:cs="Arial"/>
                <w:sz w:val="22"/>
                <w:szCs w:val="22"/>
                <w:lang w:val="en-US"/>
              </w:rPr>
              <w:t xml:space="preserve"> “data subject”)</w:t>
            </w:r>
            <w:r>
              <w:rPr>
                <w:rFonts w:cs="Arial"/>
                <w:sz w:val="22"/>
                <w:szCs w:val="22"/>
                <w:lang w:val="en-US"/>
              </w:rPr>
              <w:t>; an</w:t>
            </w:r>
            <w:r w:rsidRPr="00FB5B7C">
              <w:rPr>
                <w:rFonts w:cs="Arial"/>
                <w:sz w:val="22"/>
                <w:szCs w:val="22"/>
                <w:lang w:val="en-US"/>
              </w:rPr>
              <w:t xml:space="preserve"> identifiable natural person is a natural person that can be identified directly or indirectly by </w:t>
            </w:r>
            <w:r>
              <w:rPr>
                <w:rFonts w:cs="Arial"/>
                <w:sz w:val="22"/>
                <w:szCs w:val="22"/>
                <w:lang w:val="en-US"/>
              </w:rPr>
              <w:t>allocation</w:t>
            </w:r>
            <w:r w:rsidRPr="00FB5B7C">
              <w:rPr>
                <w:rFonts w:cs="Arial"/>
                <w:sz w:val="22"/>
                <w:szCs w:val="22"/>
                <w:lang w:val="en-US"/>
              </w:rPr>
              <w:t xml:space="preserve"> to an identifier, such as a name, an identification number, location data, an online code, or one or several special characteristics reflecting the physical, physiological, genetic, psychic, economic, cultural, or social identity of this natural person. </w:t>
            </w:r>
          </w:p>
          <w:p w14:paraId="53E02361" w14:textId="77777777" w:rsidR="007726DE" w:rsidRPr="00FB5B7C" w:rsidRDefault="007726DE" w:rsidP="00E76DDB">
            <w:pPr>
              <w:spacing w:line="276" w:lineRule="auto"/>
              <w:jc w:val="both"/>
              <w:rPr>
                <w:rFonts w:cs="Arial"/>
                <w:sz w:val="22"/>
                <w:szCs w:val="22"/>
                <w:lang w:val="en-US"/>
              </w:rPr>
            </w:pPr>
          </w:p>
          <w:p w14:paraId="58BA2205" w14:textId="77777777" w:rsidR="007726DE" w:rsidRPr="00FB5B7C" w:rsidRDefault="007726DE" w:rsidP="00E76DDB">
            <w:pPr>
              <w:spacing w:line="276" w:lineRule="auto"/>
              <w:jc w:val="both"/>
              <w:rPr>
                <w:rFonts w:cs="Arial"/>
                <w:sz w:val="22"/>
                <w:szCs w:val="22"/>
                <w:lang w:val="en-US"/>
              </w:rPr>
            </w:pPr>
            <w:r w:rsidRPr="00FB5B7C">
              <w:rPr>
                <w:rFonts w:cs="Arial"/>
                <w:sz w:val="22"/>
                <w:szCs w:val="22"/>
                <w:lang w:val="en-US"/>
              </w:rPr>
              <w:t>[…]</w:t>
            </w:r>
          </w:p>
        </w:tc>
      </w:tr>
    </w:tbl>
    <w:p w14:paraId="6747A2FC" w14:textId="77777777" w:rsidR="007726DE" w:rsidRPr="00FB5B7C" w:rsidRDefault="007726DE" w:rsidP="007726DE">
      <w:pPr>
        <w:shd w:val="clear" w:color="auto" w:fill="FFFFFF"/>
        <w:spacing w:line="360" w:lineRule="auto"/>
        <w:textAlignment w:val="baseline"/>
        <w:outlineLvl w:val="0"/>
        <w:rPr>
          <w:rFonts w:cs="Arial"/>
          <w:b/>
          <w:bCs/>
          <w:color w:val="222222"/>
          <w:kern w:val="36"/>
          <w:lang w:val="en-US"/>
        </w:rPr>
      </w:pPr>
      <w:r w:rsidRPr="00FB5B7C">
        <w:rPr>
          <w:rFonts w:cs="Arial"/>
          <w:b/>
          <w:bCs/>
          <w:color w:val="222222"/>
          <w:kern w:val="36"/>
          <w:lang w:val="en-US"/>
        </w:rPr>
        <w:t>Article 3, LDSG Ensuring Data P</w:t>
      </w:r>
      <w:r w:rsidRPr="002F0ADE">
        <w:rPr>
          <w:rFonts w:cs="Arial"/>
          <w:b/>
          <w:bCs/>
          <w:color w:val="222222"/>
          <w:kern w:val="36"/>
          <w:lang w:val="en-US"/>
        </w:rPr>
        <w:t>rotection</w:t>
      </w:r>
    </w:p>
    <w:p w14:paraId="4244938F" w14:textId="77777777" w:rsidR="007726DE" w:rsidRPr="00FB5B7C" w:rsidRDefault="007726DE" w:rsidP="007726DE">
      <w:pPr>
        <w:shd w:val="clear" w:color="auto" w:fill="FFFFFF"/>
        <w:spacing w:line="276" w:lineRule="auto"/>
        <w:jc w:val="both"/>
        <w:textAlignment w:val="baseline"/>
        <w:rPr>
          <w:rFonts w:cs="Arial"/>
          <w:color w:val="222222"/>
          <w:bdr w:val="none" w:sz="0" w:space="0" w:color="auto" w:frame="1"/>
          <w:lang w:val="en-US"/>
        </w:rPr>
      </w:pPr>
      <w:r w:rsidRPr="00FB5B7C">
        <w:rPr>
          <w:rFonts w:cs="Arial"/>
          <w:color w:val="222222"/>
          <w:lang w:val="en-US"/>
        </w:rPr>
        <w:t>(1) </w:t>
      </w:r>
      <w:r w:rsidRPr="00FB5B7C">
        <w:rPr>
          <w:rFonts w:cs="Arial"/>
          <w:color w:val="222222"/>
          <w:bdr w:val="none" w:sz="0" w:space="0" w:color="auto" w:frame="1"/>
          <w:vertAlign w:val="superscript"/>
          <w:lang w:val="en-US"/>
        </w:rPr>
        <w:t>1</w:t>
      </w:r>
      <w:r w:rsidRPr="00FB5B7C">
        <w:rPr>
          <w:rFonts w:cs="Arial"/>
          <w:color w:val="222222"/>
          <w:bdr w:val="none" w:sz="0" w:space="0" w:color="auto" w:frame="1"/>
          <w:lang w:val="en-US"/>
        </w:rPr>
        <w:t xml:space="preserve">When processing data, adequate and specific measures must be taken to protect the interests of the data subject. </w:t>
      </w:r>
      <w:r w:rsidRPr="00FB5B7C">
        <w:rPr>
          <w:rFonts w:cs="Arial"/>
          <w:color w:val="222222"/>
          <w:lang w:val="en-US"/>
        </w:rPr>
        <w:t> </w:t>
      </w:r>
      <w:r w:rsidRPr="00FB5B7C">
        <w:rPr>
          <w:rFonts w:cs="Arial"/>
          <w:color w:val="222222"/>
          <w:bdr w:val="none" w:sz="0" w:space="0" w:color="auto" w:frame="1"/>
          <w:vertAlign w:val="superscript"/>
          <w:lang w:val="en-US"/>
        </w:rPr>
        <w:t>2</w:t>
      </w:r>
      <w:r w:rsidRPr="00FB5B7C">
        <w:rPr>
          <w:rFonts w:cs="Arial"/>
          <w:color w:val="222222"/>
          <w:bdr w:val="none" w:sz="0" w:space="0" w:color="auto" w:frame="1"/>
          <w:lang w:val="en-US"/>
        </w:rPr>
        <w:t xml:space="preserve">For this, the state of the art, implementation costs, the type, scope, circumstances, and purposes of processing, and </w:t>
      </w:r>
      <w:r>
        <w:rPr>
          <w:rFonts w:cs="Arial"/>
          <w:color w:val="222222"/>
          <w:bdr w:val="none" w:sz="0" w:space="0" w:color="auto" w:frame="1"/>
          <w:lang w:val="en-US"/>
        </w:rPr>
        <w:t>variable</w:t>
      </w:r>
      <w:r w:rsidRPr="00FB5B7C">
        <w:rPr>
          <w:rFonts w:cs="Arial"/>
          <w:color w:val="222222"/>
          <w:bdr w:val="none" w:sz="0" w:space="0" w:color="auto" w:frame="1"/>
          <w:lang w:val="en-US"/>
        </w:rPr>
        <w:t xml:space="preserve"> probability of occurrence and seriousness of the risks to the rights and freedoms of natural persons, which are associated with processing</w:t>
      </w:r>
      <w:r>
        <w:rPr>
          <w:rFonts w:cs="Arial"/>
          <w:color w:val="222222"/>
          <w:bdr w:val="none" w:sz="0" w:space="0" w:color="auto" w:frame="1"/>
          <w:lang w:val="en-US"/>
        </w:rPr>
        <w:t>, must be</w:t>
      </w:r>
      <w:r w:rsidRPr="00FB5B7C">
        <w:rPr>
          <w:rFonts w:cs="Arial"/>
          <w:color w:val="222222"/>
          <w:bdr w:val="none" w:sz="0" w:space="0" w:color="auto" w:frame="1"/>
          <w:lang w:val="en-US"/>
        </w:rPr>
        <w:t xml:space="preserve"> </w:t>
      </w:r>
      <w:proofErr w:type="gramStart"/>
      <w:r w:rsidRPr="00FB5B7C">
        <w:rPr>
          <w:rFonts w:cs="Arial"/>
          <w:color w:val="222222"/>
          <w:bdr w:val="none" w:sz="0" w:space="0" w:color="auto" w:frame="1"/>
          <w:lang w:val="en-US"/>
        </w:rPr>
        <w:t>taken into account</w:t>
      </w:r>
      <w:proofErr w:type="gramEnd"/>
      <w:r w:rsidRPr="00FB5B7C">
        <w:rPr>
          <w:rFonts w:cs="Arial"/>
          <w:color w:val="222222"/>
          <w:bdr w:val="none" w:sz="0" w:space="0" w:color="auto" w:frame="1"/>
          <w:lang w:val="en-US"/>
        </w:rPr>
        <w:t xml:space="preserve">. </w:t>
      </w:r>
      <w:r w:rsidRPr="00FB5B7C">
        <w:rPr>
          <w:rFonts w:cs="Arial"/>
          <w:color w:val="222222"/>
          <w:bdr w:val="none" w:sz="0" w:space="0" w:color="auto" w:frame="1"/>
          <w:vertAlign w:val="superscript"/>
          <w:lang w:val="en-US"/>
        </w:rPr>
        <w:t>3</w:t>
      </w:r>
      <w:r w:rsidRPr="00FB5B7C">
        <w:rPr>
          <w:rFonts w:cs="Arial"/>
          <w:color w:val="222222"/>
          <w:bdr w:val="none" w:sz="0" w:space="0" w:color="auto" w:frame="1"/>
          <w:lang w:val="en-US"/>
        </w:rPr>
        <w:t>Such measures may include:</w:t>
      </w:r>
    </w:p>
    <w:p w14:paraId="5BDDB202" w14:textId="77777777" w:rsidR="007726DE" w:rsidRPr="00FB5B7C" w:rsidRDefault="007726DE" w:rsidP="007726DE">
      <w:pPr>
        <w:shd w:val="clear" w:color="auto" w:fill="FFFFFF"/>
        <w:spacing w:line="276" w:lineRule="auto"/>
        <w:jc w:val="both"/>
        <w:textAlignment w:val="baseline"/>
        <w:rPr>
          <w:rFonts w:cs="Arial"/>
          <w:color w:val="222222"/>
          <w:lang w:val="en-US"/>
        </w:rPr>
      </w:pPr>
    </w:p>
    <w:tbl>
      <w:tblPr>
        <w:tblW w:w="0" w:type="auto"/>
        <w:tblCellSpacing w:w="15" w:type="dxa"/>
        <w:tblCellMar>
          <w:left w:w="0" w:type="dxa"/>
          <w:right w:w="0" w:type="dxa"/>
        </w:tblCellMar>
        <w:tblLook w:val="04A0" w:firstRow="1" w:lastRow="0" w:firstColumn="1" w:lastColumn="0" w:noHBand="0" w:noVBand="1"/>
      </w:tblPr>
      <w:tblGrid>
        <w:gridCol w:w="225"/>
        <w:gridCol w:w="310"/>
        <w:gridCol w:w="8537"/>
      </w:tblGrid>
      <w:tr w:rsidR="007726DE" w:rsidRPr="00855C71" w14:paraId="1CE7747B" w14:textId="77777777" w:rsidTr="00E76DDB">
        <w:trPr>
          <w:tblCellSpacing w:w="15" w:type="dxa"/>
        </w:trPr>
        <w:tc>
          <w:tcPr>
            <w:tcW w:w="180" w:type="dxa"/>
            <w:tcBorders>
              <w:top w:val="nil"/>
              <w:left w:val="nil"/>
              <w:bottom w:val="nil"/>
              <w:right w:val="nil"/>
            </w:tcBorders>
            <w:tcMar>
              <w:top w:w="48" w:type="dxa"/>
              <w:left w:w="48" w:type="dxa"/>
              <w:bottom w:w="48" w:type="dxa"/>
              <w:right w:w="48" w:type="dxa"/>
            </w:tcMar>
            <w:hideMark/>
          </w:tcPr>
          <w:p w14:paraId="6302E77E" w14:textId="77777777" w:rsidR="007726DE" w:rsidRPr="00FB5B7C" w:rsidRDefault="007726DE" w:rsidP="00E76DDB">
            <w:pPr>
              <w:spacing w:line="276" w:lineRule="auto"/>
              <w:jc w:val="both"/>
              <w:rPr>
                <w:rFonts w:cs="Arial"/>
                <w:color w:val="222222"/>
                <w:lang w:val="en-US"/>
              </w:rPr>
            </w:pPr>
          </w:p>
        </w:tc>
        <w:tc>
          <w:tcPr>
            <w:tcW w:w="0" w:type="auto"/>
            <w:tcBorders>
              <w:top w:val="nil"/>
              <w:left w:val="nil"/>
              <w:bottom w:val="nil"/>
              <w:right w:val="nil"/>
            </w:tcBorders>
            <w:tcMar>
              <w:top w:w="48" w:type="dxa"/>
              <w:left w:w="48" w:type="dxa"/>
              <w:bottom w:w="48" w:type="dxa"/>
              <w:right w:w="48" w:type="dxa"/>
            </w:tcMar>
            <w:hideMark/>
          </w:tcPr>
          <w:p w14:paraId="0177B4C7" w14:textId="77777777" w:rsidR="007726DE" w:rsidRPr="00FB5B7C" w:rsidRDefault="007726DE" w:rsidP="00E76DDB">
            <w:pPr>
              <w:spacing w:line="276" w:lineRule="auto"/>
              <w:jc w:val="both"/>
              <w:rPr>
                <w:rFonts w:cs="Arial"/>
                <w:lang w:val="en-US"/>
              </w:rPr>
            </w:pPr>
            <w:r w:rsidRPr="00FB5B7C">
              <w:rPr>
                <w:rFonts w:cs="Arial"/>
                <w:lang w:val="en-US"/>
              </w:rPr>
              <w:t>1.</w:t>
            </w:r>
          </w:p>
        </w:tc>
        <w:tc>
          <w:tcPr>
            <w:tcW w:w="0" w:type="auto"/>
            <w:tcBorders>
              <w:top w:val="nil"/>
              <w:left w:val="nil"/>
              <w:bottom w:val="nil"/>
              <w:right w:val="nil"/>
            </w:tcBorders>
            <w:tcMar>
              <w:top w:w="48" w:type="dxa"/>
              <w:left w:w="48" w:type="dxa"/>
              <w:bottom w:w="48" w:type="dxa"/>
              <w:right w:w="48" w:type="dxa"/>
            </w:tcMar>
            <w:hideMark/>
          </w:tcPr>
          <w:p w14:paraId="685EEE43" w14:textId="77777777" w:rsidR="007726DE" w:rsidRPr="00FB5B7C" w:rsidRDefault="007726DE" w:rsidP="00E76DDB">
            <w:pPr>
              <w:spacing w:line="276" w:lineRule="auto"/>
              <w:jc w:val="both"/>
              <w:rPr>
                <w:rFonts w:cs="Arial"/>
                <w:lang w:val="en-US"/>
              </w:rPr>
            </w:pPr>
            <w:r w:rsidRPr="00FB5B7C">
              <w:rPr>
                <w:rFonts w:cs="Arial"/>
                <w:lang w:val="en-US"/>
              </w:rPr>
              <w:t>Technical and organizational measure</w:t>
            </w:r>
            <w:r w:rsidRPr="00A65F3F">
              <w:rPr>
                <w:rFonts w:cs="Arial"/>
                <w:lang w:val="en-US"/>
              </w:rPr>
              <w:t>s to ensure that processing takes place in agreement with Directive</w:t>
            </w:r>
            <w:r w:rsidRPr="00FB5B7C">
              <w:rPr>
                <w:rFonts w:cs="Arial"/>
                <w:lang w:val="en-US"/>
              </w:rPr>
              <w:t xml:space="preserve"> [EU] 2016/679,</w:t>
            </w:r>
          </w:p>
        </w:tc>
      </w:tr>
      <w:tr w:rsidR="007726DE" w:rsidRPr="00855C71" w14:paraId="0A6389AB" w14:textId="77777777" w:rsidTr="00E76DDB">
        <w:trPr>
          <w:tblCellSpacing w:w="15" w:type="dxa"/>
        </w:trPr>
        <w:tc>
          <w:tcPr>
            <w:tcW w:w="180" w:type="dxa"/>
            <w:tcBorders>
              <w:top w:val="nil"/>
              <w:left w:val="nil"/>
              <w:bottom w:val="nil"/>
              <w:right w:val="nil"/>
            </w:tcBorders>
            <w:tcMar>
              <w:top w:w="48" w:type="dxa"/>
              <w:left w:w="48" w:type="dxa"/>
              <w:bottom w:w="48" w:type="dxa"/>
              <w:right w:w="48" w:type="dxa"/>
            </w:tcMar>
            <w:hideMark/>
          </w:tcPr>
          <w:p w14:paraId="766C6673" w14:textId="77777777" w:rsidR="007726DE" w:rsidRPr="00FB5B7C" w:rsidRDefault="007726DE" w:rsidP="00E76DDB">
            <w:pPr>
              <w:spacing w:line="276" w:lineRule="auto"/>
              <w:jc w:val="both"/>
              <w:rPr>
                <w:rFonts w:cs="Arial"/>
                <w:lang w:val="en-US"/>
              </w:rPr>
            </w:pPr>
          </w:p>
        </w:tc>
        <w:tc>
          <w:tcPr>
            <w:tcW w:w="0" w:type="auto"/>
            <w:tcBorders>
              <w:top w:val="nil"/>
              <w:left w:val="nil"/>
              <w:bottom w:val="nil"/>
              <w:right w:val="nil"/>
            </w:tcBorders>
            <w:tcMar>
              <w:top w:w="48" w:type="dxa"/>
              <w:left w:w="48" w:type="dxa"/>
              <w:bottom w:w="48" w:type="dxa"/>
              <w:right w:w="48" w:type="dxa"/>
            </w:tcMar>
            <w:hideMark/>
          </w:tcPr>
          <w:p w14:paraId="37A34CD4" w14:textId="77777777" w:rsidR="007726DE" w:rsidRPr="00FB5B7C" w:rsidRDefault="007726DE" w:rsidP="00E76DDB">
            <w:pPr>
              <w:spacing w:line="276" w:lineRule="auto"/>
              <w:jc w:val="both"/>
              <w:rPr>
                <w:rFonts w:cs="Arial"/>
                <w:lang w:val="en-US"/>
              </w:rPr>
            </w:pPr>
            <w:r w:rsidRPr="00FB5B7C">
              <w:rPr>
                <w:rFonts w:cs="Arial"/>
                <w:lang w:val="en-US"/>
              </w:rPr>
              <w:t>2.</w:t>
            </w:r>
          </w:p>
        </w:tc>
        <w:tc>
          <w:tcPr>
            <w:tcW w:w="0" w:type="auto"/>
            <w:tcBorders>
              <w:top w:val="nil"/>
              <w:left w:val="nil"/>
              <w:bottom w:val="nil"/>
              <w:right w:val="nil"/>
            </w:tcBorders>
            <w:tcMar>
              <w:top w:w="48" w:type="dxa"/>
              <w:left w:w="48" w:type="dxa"/>
              <w:bottom w:w="48" w:type="dxa"/>
              <w:right w:w="48" w:type="dxa"/>
            </w:tcMar>
            <w:hideMark/>
          </w:tcPr>
          <w:p w14:paraId="0EC72F05" w14:textId="77777777" w:rsidR="007726DE" w:rsidRPr="00FB5B7C" w:rsidRDefault="007726DE" w:rsidP="00E76DDB">
            <w:pPr>
              <w:spacing w:line="276" w:lineRule="auto"/>
              <w:jc w:val="both"/>
              <w:rPr>
                <w:rFonts w:cs="Arial"/>
                <w:lang w:val="en-US"/>
              </w:rPr>
            </w:pPr>
            <w:r w:rsidRPr="00FB5B7C">
              <w:rPr>
                <w:rFonts w:cs="Arial"/>
                <w:lang w:val="en-US"/>
              </w:rPr>
              <w:t>measures ensuring subsequent verification an</w:t>
            </w:r>
            <w:r w:rsidRPr="00A65F3F">
              <w:rPr>
                <w:rFonts w:cs="Arial"/>
                <w:lang w:val="en-US"/>
              </w:rPr>
              <w:t>d assessment whether and by whom personal data were collected, changed or deleted</w:t>
            </w:r>
            <w:r w:rsidRPr="00FB5B7C">
              <w:rPr>
                <w:rFonts w:cs="Arial"/>
                <w:lang w:val="en-US"/>
              </w:rPr>
              <w:t>,</w:t>
            </w:r>
          </w:p>
        </w:tc>
      </w:tr>
      <w:tr w:rsidR="007726DE" w:rsidRPr="00855C71" w14:paraId="47C2FA88" w14:textId="77777777" w:rsidTr="00E76DDB">
        <w:trPr>
          <w:tblCellSpacing w:w="15" w:type="dxa"/>
        </w:trPr>
        <w:tc>
          <w:tcPr>
            <w:tcW w:w="180" w:type="dxa"/>
            <w:tcBorders>
              <w:top w:val="nil"/>
              <w:left w:val="nil"/>
              <w:bottom w:val="nil"/>
              <w:right w:val="nil"/>
            </w:tcBorders>
            <w:tcMar>
              <w:top w:w="48" w:type="dxa"/>
              <w:left w:w="48" w:type="dxa"/>
              <w:bottom w:w="48" w:type="dxa"/>
              <w:right w:w="48" w:type="dxa"/>
            </w:tcMar>
            <w:hideMark/>
          </w:tcPr>
          <w:p w14:paraId="27A5171A" w14:textId="77777777" w:rsidR="007726DE" w:rsidRPr="00FB5B7C" w:rsidRDefault="007726DE" w:rsidP="00E76DDB">
            <w:pPr>
              <w:spacing w:line="276" w:lineRule="auto"/>
              <w:jc w:val="both"/>
              <w:rPr>
                <w:rFonts w:cs="Arial"/>
                <w:lang w:val="en-US"/>
              </w:rPr>
            </w:pPr>
          </w:p>
        </w:tc>
        <w:tc>
          <w:tcPr>
            <w:tcW w:w="0" w:type="auto"/>
            <w:tcBorders>
              <w:top w:val="nil"/>
              <w:left w:val="nil"/>
              <w:bottom w:val="nil"/>
              <w:right w:val="nil"/>
            </w:tcBorders>
            <w:tcMar>
              <w:top w:w="48" w:type="dxa"/>
              <w:left w:w="48" w:type="dxa"/>
              <w:bottom w:w="48" w:type="dxa"/>
              <w:right w:w="48" w:type="dxa"/>
            </w:tcMar>
            <w:hideMark/>
          </w:tcPr>
          <w:p w14:paraId="0373F9D8" w14:textId="77777777" w:rsidR="007726DE" w:rsidRPr="00FB5B7C" w:rsidRDefault="007726DE" w:rsidP="00E76DDB">
            <w:pPr>
              <w:spacing w:line="276" w:lineRule="auto"/>
              <w:jc w:val="both"/>
              <w:rPr>
                <w:rFonts w:cs="Arial"/>
                <w:lang w:val="en-US"/>
              </w:rPr>
            </w:pPr>
            <w:r w:rsidRPr="00FB5B7C">
              <w:rPr>
                <w:rFonts w:cs="Arial"/>
                <w:lang w:val="en-US"/>
              </w:rPr>
              <w:t>3.</w:t>
            </w:r>
          </w:p>
        </w:tc>
        <w:tc>
          <w:tcPr>
            <w:tcW w:w="0" w:type="auto"/>
            <w:tcBorders>
              <w:top w:val="nil"/>
              <w:left w:val="nil"/>
              <w:bottom w:val="nil"/>
              <w:right w:val="nil"/>
            </w:tcBorders>
            <w:tcMar>
              <w:top w:w="48" w:type="dxa"/>
              <w:left w:w="48" w:type="dxa"/>
              <w:bottom w:w="48" w:type="dxa"/>
              <w:right w:w="48" w:type="dxa"/>
            </w:tcMar>
            <w:hideMark/>
          </w:tcPr>
          <w:p w14:paraId="13448C31" w14:textId="77777777" w:rsidR="007726DE" w:rsidRPr="00FB5B7C" w:rsidRDefault="007726DE" w:rsidP="00E76DDB">
            <w:pPr>
              <w:spacing w:line="276" w:lineRule="auto"/>
              <w:jc w:val="both"/>
              <w:rPr>
                <w:rFonts w:cs="Arial"/>
                <w:lang w:val="en-US"/>
              </w:rPr>
            </w:pPr>
            <w:r w:rsidRPr="00FB5B7C">
              <w:rPr>
                <w:rFonts w:cs="Arial"/>
                <w:lang w:val="en-US"/>
              </w:rPr>
              <w:t>sensitization and training of per</w:t>
            </w:r>
            <w:r w:rsidRPr="00A65F3F">
              <w:rPr>
                <w:rFonts w:cs="Arial"/>
                <w:lang w:val="en-US"/>
              </w:rPr>
              <w:t>sons involved in processing</w:t>
            </w:r>
            <w:r w:rsidRPr="00FB5B7C">
              <w:rPr>
                <w:rFonts w:cs="Arial"/>
                <w:lang w:val="en-US"/>
              </w:rPr>
              <w:t>,</w:t>
            </w:r>
          </w:p>
        </w:tc>
      </w:tr>
      <w:tr w:rsidR="007726DE" w:rsidRPr="00855C71" w14:paraId="7D58E67E" w14:textId="77777777" w:rsidTr="00E76DDB">
        <w:trPr>
          <w:tblCellSpacing w:w="15" w:type="dxa"/>
        </w:trPr>
        <w:tc>
          <w:tcPr>
            <w:tcW w:w="180" w:type="dxa"/>
            <w:tcBorders>
              <w:top w:val="nil"/>
              <w:left w:val="nil"/>
              <w:bottom w:val="nil"/>
              <w:right w:val="nil"/>
            </w:tcBorders>
            <w:tcMar>
              <w:top w:w="48" w:type="dxa"/>
              <w:left w:w="48" w:type="dxa"/>
              <w:bottom w:w="48" w:type="dxa"/>
              <w:right w:w="48" w:type="dxa"/>
            </w:tcMar>
            <w:hideMark/>
          </w:tcPr>
          <w:p w14:paraId="1E121F3B" w14:textId="77777777" w:rsidR="007726DE" w:rsidRPr="00FB5B7C" w:rsidRDefault="007726DE" w:rsidP="00E76DDB">
            <w:pPr>
              <w:spacing w:line="276" w:lineRule="auto"/>
              <w:jc w:val="both"/>
              <w:rPr>
                <w:rFonts w:cs="Arial"/>
                <w:lang w:val="en-US"/>
              </w:rPr>
            </w:pPr>
          </w:p>
        </w:tc>
        <w:tc>
          <w:tcPr>
            <w:tcW w:w="0" w:type="auto"/>
            <w:tcBorders>
              <w:top w:val="nil"/>
              <w:left w:val="nil"/>
              <w:bottom w:val="nil"/>
              <w:right w:val="nil"/>
            </w:tcBorders>
            <w:tcMar>
              <w:top w:w="48" w:type="dxa"/>
              <w:left w:w="48" w:type="dxa"/>
              <w:bottom w:w="48" w:type="dxa"/>
              <w:right w:w="48" w:type="dxa"/>
            </w:tcMar>
            <w:hideMark/>
          </w:tcPr>
          <w:p w14:paraId="3844DC85" w14:textId="77777777" w:rsidR="007726DE" w:rsidRPr="00FB5B7C" w:rsidRDefault="007726DE" w:rsidP="00E76DDB">
            <w:pPr>
              <w:spacing w:line="276" w:lineRule="auto"/>
              <w:jc w:val="both"/>
              <w:rPr>
                <w:rFonts w:cs="Arial"/>
                <w:lang w:val="en-US"/>
              </w:rPr>
            </w:pPr>
            <w:r w:rsidRPr="00FB5B7C">
              <w:rPr>
                <w:rFonts w:cs="Arial"/>
                <w:lang w:val="en-US"/>
              </w:rPr>
              <w:t>4.</w:t>
            </w:r>
          </w:p>
        </w:tc>
        <w:tc>
          <w:tcPr>
            <w:tcW w:w="0" w:type="auto"/>
            <w:tcBorders>
              <w:top w:val="nil"/>
              <w:left w:val="nil"/>
              <w:bottom w:val="nil"/>
              <w:right w:val="nil"/>
            </w:tcBorders>
            <w:tcMar>
              <w:top w:w="48" w:type="dxa"/>
              <w:left w:w="48" w:type="dxa"/>
              <w:bottom w:w="48" w:type="dxa"/>
              <w:right w:w="48" w:type="dxa"/>
            </w:tcMar>
            <w:hideMark/>
          </w:tcPr>
          <w:p w14:paraId="44CCBC19" w14:textId="77777777" w:rsidR="007726DE" w:rsidRPr="00FB5B7C" w:rsidRDefault="007726DE" w:rsidP="00E76DDB">
            <w:pPr>
              <w:spacing w:line="276" w:lineRule="auto"/>
              <w:jc w:val="both"/>
              <w:rPr>
                <w:rFonts w:cs="Arial"/>
                <w:lang w:val="en-US"/>
              </w:rPr>
            </w:pPr>
            <w:r w:rsidRPr="00FB5B7C">
              <w:rPr>
                <w:rFonts w:cs="Arial"/>
                <w:lang w:val="en-US"/>
              </w:rPr>
              <w:t>restriction of access to pe</w:t>
            </w:r>
            <w:r w:rsidRPr="00A65F3F">
              <w:rPr>
                <w:rFonts w:cs="Arial"/>
                <w:lang w:val="en-US"/>
              </w:rPr>
              <w:t xml:space="preserve">rsonal data at the public office and </w:t>
            </w:r>
            <w:r>
              <w:rPr>
                <w:rFonts w:cs="Arial"/>
                <w:lang w:val="en-US"/>
              </w:rPr>
              <w:t>for</w:t>
            </w:r>
            <w:r w:rsidRPr="00A65F3F">
              <w:rPr>
                <w:rFonts w:cs="Arial"/>
                <w:lang w:val="en-US"/>
              </w:rPr>
              <w:t xml:space="preserve"> processors</w:t>
            </w:r>
            <w:r w:rsidRPr="00FB5B7C">
              <w:rPr>
                <w:rFonts w:cs="Arial"/>
                <w:lang w:val="en-US"/>
              </w:rPr>
              <w:t>,</w:t>
            </w:r>
          </w:p>
        </w:tc>
      </w:tr>
      <w:tr w:rsidR="007726DE" w:rsidRPr="00A65F3F" w14:paraId="66FA3C02" w14:textId="77777777" w:rsidTr="00E76DDB">
        <w:trPr>
          <w:tblCellSpacing w:w="15" w:type="dxa"/>
        </w:trPr>
        <w:tc>
          <w:tcPr>
            <w:tcW w:w="180" w:type="dxa"/>
            <w:tcBorders>
              <w:top w:val="nil"/>
              <w:left w:val="nil"/>
              <w:bottom w:val="nil"/>
              <w:right w:val="nil"/>
            </w:tcBorders>
            <w:tcMar>
              <w:top w:w="48" w:type="dxa"/>
              <w:left w:w="48" w:type="dxa"/>
              <w:bottom w:w="48" w:type="dxa"/>
              <w:right w:w="48" w:type="dxa"/>
            </w:tcMar>
            <w:hideMark/>
          </w:tcPr>
          <w:p w14:paraId="568F60B0" w14:textId="77777777" w:rsidR="007726DE" w:rsidRPr="00FB5B7C" w:rsidRDefault="007726DE" w:rsidP="00E76DDB">
            <w:pPr>
              <w:spacing w:line="276" w:lineRule="auto"/>
              <w:jc w:val="both"/>
              <w:rPr>
                <w:rFonts w:cs="Arial"/>
                <w:lang w:val="en-US"/>
              </w:rPr>
            </w:pPr>
          </w:p>
        </w:tc>
        <w:tc>
          <w:tcPr>
            <w:tcW w:w="0" w:type="auto"/>
            <w:tcBorders>
              <w:top w:val="nil"/>
              <w:left w:val="nil"/>
              <w:bottom w:val="nil"/>
              <w:right w:val="nil"/>
            </w:tcBorders>
            <w:tcMar>
              <w:top w:w="48" w:type="dxa"/>
              <w:left w:w="48" w:type="dxa"/>
              <w:bottom w:w="48" w:type="dxa"/>
              <w:right w:w="48" w:type="dxa"/>
            </w:tcMar>
            <w:hideMark/>
          </w:tcPr>
          <w:p w14:paraId="557D35F3" w14:textId="77777777" w:rsidR="007726DE" w:rsidRPr="00FB5B7C" w:rsidRDefault="007726DE" w:rsidP="00E76DDB">
            <w:pPr>
              <w:spacing w:line="276" w:lineRule="auto"/>
              <w:jc w:val="both"/>
              <w:rPr>
                <w:rFonts w:cs="Arial"/>
                <w:lang w:val="en-US"/>
              </w:rPr>
            </w:pPr>
            <w:r w:rsidRPr="00FB5B7C">
              <w:rPr>
                <w:rFonts w:cs="Arial"/>
                <w:lang w:val="en-US"/>
              </w:rPr>
              <w:t>5.</w:t>
            </w:r>
          </w:p>
        </w:tc>
        <w:tc>
          <w:tcPr>
            <w:tcW w:w="0" w:type="auto"/>
            <w:tcBorders>
              <w:top w:val="nil"/>
              <w:left w:val="nil"/>
              <w:bottom w:val="nil"/>
              <w:right w:val="nil"/>
            </w:tcBorders>
            <w:tcMar>
              <w:top w:w="48" w:type="dxa"/>
              <w:left w:w="48" w:type="dxa"/>
              <w:bottom w:w="48" w:type="dxa"/>
              <w:right w:w="48" w:type="dxa"/>
            </w:tcMar>
            <w:hideMark/>
          </w:tcPr>
          <w:p w14:paraId="3F8B8857" w14:textId="77777777" w:rsidR="007726DE" w:rsidRPr="00FB5B7C" w:rsidRDefault="007726DE" w:rsidP="00E76DDB">
            <w:pPr>
              <w:spacing w:line="276" w:lineRule="auto"/>
              <w:jc w:val="both"/>
              <w:rPr>
                <w:rFonts w:cs="Arial"/>
                <w:lang w:val="en-US"/>
              </w:rPr>
            </w:pPr>
            <w:r w:rsidRPr="00A65F3F">
              <w:rPr>
                <w:rFonts w:cs="Arial"/>
                <w:lang w:val="en-US"/>
              </w:rPr>
              <w:t>pseudonymization</w:t>
            </w:r>
            <w:r w:rsidRPr="00FB5B7C">
              <w:rPr>
                <w:rFonts w:cs="Arial"/>
                <w:lang w:val="en-US"/>
              </w:rPr>
              <w:t xml:space="preserve"> of personal data,</w:t>
            </w:r>
          </w:p>
        </w:tc>
      </w:tr>
      <w:tr w:rsidR="007726DE" w:rsidRPr="00A65F3F" w14:paraId="68D976C1" w14:textId="77777777" w:rsidTr="00E76DDB">
        <w:trPr>
          <w:tblCellSpacing w:w="15" w:type="dxa"/>
        </w:trPr>
        <w:tc>
          <w:tcPr>
            <w:tcW w:w="180" w:type="dxa"/>
            <w:tcBorders>
              <w:top w:val="nil"/>
              <w:left w:val="nil"/>
              <w:bottom w:val="nil"/>
              <w:right w:val="nil"/>
            </w:tcBorders>
            <w:tcMar>
              <w:top w:w="48" w:type="dxa"/>
              <w:left w:w="48" w:type="dxa"/>
              <w:bottom w:w="48" w:type="dxa"/>
              <w:right w:w="48" w:type="dxa"/>
            </w:tcMar>
            <w:hideMark/>
          </w:tcPr>
          <w:p w14:paraId="28DD00BB" w14:textId="77777777" w:rsidR="007726DE" w:rsidRPr="00FB5B7C" w:rsidRDefault="007726DE" w:rsidP="00E76DDB">
            <w:pPr>
              <w:spacing w:line="276" w:lineRule="auto"/>
              <w:jc w:val="both"/>
              <w:rPr>
                <w:rFonts w:cs="Arial"/>
                <w:lang w:val="en-US"/>
              </w:rPr>
            </w:pPr>
          </w:p>
        </w:tc>
        <w:tc>
          <w:tcPr>
            <w:tcW w:w="0" w:type="auto"/>
            <w:tcBorders>
              <w:top w:val="nil"/>
              <w:left w:val="nil"/>
              <w:bottom w:val="nil"/>
              <w:right w:val="nil"/>
            </w:tcBorders>
            <w:tcMar>
              <w:top w:w="48" w:type="dxa"/>
              <w:left w:w="48" w:type="dxa"/>
              <w:bottom w:w="48" w:type="dxa"/>
              <w:right w:w="48" w:type="dxa"/>
            </w:tcMar>
            <w:hideMark/>
          </w:tcPr>
          <w:p w14:paraId="4171BDE8" w14:textId="77777777" w:rsidR="007726DE" w:rsidRPr="00FB5B7C" w:rsidRDefault="007726DE" w:rsidP="00E76DDB">
            <w:pPr>
              <w:spacing w:line="276" w:lineRule="auto"/>
              <w:jc w:val="both"/>
              <w:rPr>
                <w:rFonts w:cs="Arial"/>
                <w:lang w:val="en-US"/>
              </w:rPr>
            </w:pPr>
            <w:r w:rsidRPr="00FB5B7C">
              <w:rPr>
                <w:rFonts w:cs="Arial"/>
                <w:lang w:val="en-US"/>
              </w:rPr>
              <w:t>6.</w:t>
            </w:r>
          </w:p>
        </w:tc>
        <w:tc>
          <w:tcPr>
            <w:tcW w:w="0" w:type="auto"/>
            <w:tcBorders>
              <w:top w:val="nil"/>
              <w:left w:val="nil"/>
              <w:bottom w:val="nil"/>
              <w:right w:val="nil"/>
            </w:tcBorders>
            <w:tcMar>
              <w:top w:w="48" w:type="dxa"/>
              <w:left w:w="48" w:type="dxa"/>
              <w:bottom w:w="48" w:type="dxa"/>
              <w:right w:w="48" w:type="dxa"/>
            </w:tcMar>
            <w:hideMark/>
          </w:tcPr>
          <w:p w14:paraId="438F3B0F" w14:textId="77777777" w:rsidR="007726DE" w:rsidRPr="00FB5B7C" w:rsidRDefault="007726DE" w:rsidP="00E76DDB">
            <w:pPr>
              <w:spacing w:line="276" w:lineRule="auto"/>
              <w:jc w:val="both"/>
              <w:rPr>
                <w:rFonts w:cs="Arial"/>
                <w:lang w:val="en-US"/>
              </w:rPr>
            </w:pPr>
            <w:r w:rsidRPr="00FB5B7C">
              <w:rPr>
                <w:rFonts w:cs="Arial"/>
                <w:lang w:val="en-US"/>
              </w:rPr>
              <w:t>encryption of personal da</w:t>
            </w:r>
            <w:r w:rsidRPr="00A65F3F">
              <w:rPr>
                <w:rFonts w:cs="Arial"/>
                <w:lang w:val="en-US"/>
              </w:rPr>
              <w:t>ta</w:t>
            </w:r>
            <w:r w:rsidRPr="00FB5B7C">
              <w:rPr>
                <w:rFonts w:cs="Arial"/>
                <w:lang w:val="en-US"/>
              </w:rPr>
              <w:t>,</w:t>
            </w:r>
          </w:p>
        </w:tc>
      </w:tr>
      <w:tr w:rsidR="007726DE" w:rsidRPr="00855C71" w14:paraId="4F005CA3" w14:textId="77777777" w:rsidTr="00E76DDB">
        <w:trPr>
          <w:tblCellSpacing w:w="15" w:type="dxa"/>
        </w:trPr>
        <w:tc>
          <w:tcPr>
            <w:tcW w:w="180" w:type="dxa"/>
            <w:tcBorders>
              <w:top w:val="nil"/>
              <w:left w:val="nil"/>
              <w:bottom w:val="nil"/>
              <w:right w:val="nil"/>
            </w:tcBorders>
            <w:tcMar>
              <w:top w:w="48" w:type="dxa"/>
              <w:left w:w="48" w:type="dxa"/>
              <w:bottom w:w="48" w:type="dxa"/>
              <w:right w:w="48" w:type="dxa"/>
            </w:tcMar>
            <w:hideMark/>
          </w:tcPr>
          <w:p w14:paraId="79ADAED0" w14:textId="77777777" w:rsidR="007726DE" w:rsidRPr="00FB5B7C" w:rsidRDefault="007726DE" w:rsidP="00E76DDB">
            <w:pPr>
              <w:spacing w:line="276" w:lineRule="auto"/>
              <w:jc w:val="both"/>
              <w:rPr>
                <w:rFonts w:cs="Arial"/>
                <w:lang w:val="en-US"/>
              </w:rPr>
            </w:pPr>
          </w:p>
        </w:tc>
        <w:tc>
          <w:tcPr>
            <w:tcW w:w="0" w:type="auto"/>
            <w:tcBorders>
              <w:top w:val="nil"/>
              <w:left w:val="nil"/>
              <w:bottom w:val="nil"/>
              <w:right w:val="nil"/>
            </w:tcBorders>
            <w:tcMar>
              <w:top w:w="48" w:type="dxa"/>
              <w:left w:w="48" w:type="dxa"/>
              <w:bottom w:w="48" w:type="dxa"/>
              <w:right w:w="48" w:type="dxa"/>
            </w:tcMar>
            <w:hideMark/>
          </w:tcPr>
          <w:p w14:paraId="17186690" w14:textId="77777777" w:rsidR="007726DE" w:rsidRPr="00FB5B7C" w:rsidRDefault="007726DE" w:rsidP="00E76DDB">
            <w:pPr>
              <w:spacing w:line="276" w:lineRule="auto"/>
              <w:jc w:val="both"/>
              <w:rPr>
                <w:rFonts w:cs="Arial"/>
                <w:lang w:val="en-US"/>
              </w:rPr>
            </w:pPr>
            <w:r w:rsidRPr="00FB5B7C">
              <w:rPr>
                <w:rFonts w:cs="Arial"/>
                <w:lang w:val="en-US"/>
              </w:rPr>
              <w:t>7.</w:t>
            </w:r>
          </w:p>
        </w:tc>
        <w:tc>
          <w:tcPr>
            <w:tcW w:w="0" w:type="auto"/>
            <w:tcBorders>
              <w:top w:val="nil"/>
              <w:left w:val="nil"/>
              <w:bottom w:val="nil"/>
              <w:right w:val="nil"/>
            </w:tcBorders>
            <w:tcMar>
              <w:top w:w="48" w:type="dxa"/>
              <w:left w:w="48" w:type="dxa"/>
              <w:bottom w:w="48" w:type="dxa"/>
              <w:right w:w="48" w:type="dxa"/>
            </w:tcMar>
            <w:hideMark/>
          </w:tcPr>
          <w:p w14:paraId="1E2365AD" w14:textId="77777777" w:rsidR="007726DE" w:rsidRPr="00FB5B7C" w:rsidRDefault="007726DE" w:rsidP="00E76DDB">
            <w:pPr>
              <w:spacing w:line="276" w:lineRule="auto"/>
              <w:jc w:val="both"/>
              <w:rPr>
                <w:rFonts w:cs="Arial"/>
                <w:lang w:val="en-US"/>
              </w:rPr>
            </w:pPr>
            <w:r w:rsidRPr="00FB5B7C">
              <w:rPr>
                <w:rFonts w:cs="Arial"/>
                <w:lang w:val="en-US"/>
              </w:rPr>
              <w:t>the ability to permanently e</w:t>
            </w:r>
            <w:r w:rsidRPr="00A65F3F">
              <w:rPr>
                <w:rFonts w:cs="Arial"/>
                <w:lang w:val="en-US"/>
              </w:rPr>
              <w:t>nsure confidentiality, integrity, availability, and resilience of systems and services in connection with the processing of personal data, including the ability to quickly restore the availability of personal data and access to them in case of a physical or technical incident</w:t>
            </w:r>
            <w:r w:rsidRPr="00FB5B7C">
              <w:rPr>
                <w:rFonts w:cs="Arial"/>
                <w:lang w:val="en-US"/>
              </w:rPr>
              <w:t>,</w:t>
            </w:r>
          </w:p>
        </w:tc>
      </w:tr>
      <w:tr w:rsidR="007726DE" w:rsidRPr="00855C71" w14:paraId="450E2141" w14:textId="77777777" w:rsidTr="00E76DDB">
        <w:trPr>
          <w:tblCellSpacing w:w="15" w:type="dxa"/>
        </w:trPr>
        <w:tc>
          <w:tcPr>
            <w:tcW w:w="180" w:type="dxa"/>
            <w:tcBorders>
              <w:top w:val="nil"/>
              <w:left w:val="nil"/>
              <w:bottom w:val="nil"/>
              <w:right w:val="nil"/>
            </w:tcBorders>
            <w:tcMar>
              <w:top w:w="48" w:type="dxa"/>
              <w:left w:w="48" w:type="dxa"/>
              <w:bottom w:w="48" w:type="dxa"/>
              <w:right w:w="48" w:type="dxa"/>
            </w:tcMar>
            <w:hideMark/>
          </w:tcPr>
          <w:p w14:paraId="5BEEBB4B" w14:textId="77777777" w:rsidR="007726DE" w:rsidRPr="00FB5B7C" w:rsidRDefault="007726DE" w:rsidP="00E76DDB">
            <w:pPr>
              <w:spacing w:line="276" w:lineRule="auto"/>
              <w:jc w:val="both"/>
              <w:rPr>
                <w:rFonts w:cs="Arial"/>
                <w:lang w:val="en-US"/>
              </w:rPr>
            </w:pPr>
          </w:p>
        </w:tc>
        <w:tc>
          <w:tcPr>
            <w:tcW w:w="0" w:type="auto"/>
            <w:tcBorders>
              <w:top w:val="nil"/>
              <w:left w:val="nil"/>
              <w:bottom w:val="nil"/>
              <w:right w:val="nil"/>
            </w:tcBorders>
            <w:tcMar>
              <w:top w:w="48" w:type="dxa"/>
              <w:left w:w="48" w:type="dxa"/>
              <w:bottom w:w="48" w:type="dxa"/>
              <w:right w:w="48" w:type="dxa"/>
            </w:tcMar>
            <w:hideMark/>
          </w:tcPr>
          <w:p w14:paraId="70942387" w14:textId="77777777" w:rsidR="007726DE" w:rsidRPr="00FB5B7C" w:rsidRDefault="007726DE" w:rsidP="00E76DDB">
            <w:pPr>
              <w:spacing w:line="276" w:lineRule="auto"/>
              <w:jc w:val="both"/>
              <w:rPr>
                <w:rFonts w:cs="Arial"/>
                <w:lang w:val="en-US"/>
              </w:rPr>
            </w:pPr>
            <w:r w:rsidRPr="00FB5B7C">
              <w:rPr>
                <w:rFonts w:cs="Arial"/>
                <w:lang w:val="en-US"/>
              </w:rPr>
              <w:t>8.</w:t>
            </w:r>
          </w:p>
        </w:tc>
        <w:tc>
          <w:tcPr>
            <w:tcW w:w="0" w:type="auto"/>
            <w:tcBorders>
              <w:top w:val="nil"/>
              <w:left w:val="nil"/>
              <w:bottom w:val="nil"/>
              <w:right w:val="nil"/>
            </w:tcBorders>
            <w:tcMar>
              <w:top w:w="48" w:type="dxa"/>
              <w:left w:w="48" w:type="dxa"/>
              <w:bottom w:w="48" w:type="dxa"/>
              <w:right w:w="48" w:type="dxa"/>
            </w:tcMar>
            <w:hideMark/>
          </w:tcPr>
          <w:p w14:paraId="7E23F8D6" w14:textId="77777777" w:rsidR="007726DE" w:rsidRPr="00FB5B7C" w:rsidRDefault="007726DE" w:rsidP="00E76DDB">
            <w:pPr>
              <w:spacing w:line="276" w:lineRule="auto"/>
              <w:jc w:val="both"/>
              <w:rPr>
                <w:rFonts w:cs="Arial"/>
                <w:lang w:val="en-US"/>
              </w:rPr>
            </w:pPr>
            <w:r w:rsidRPr="00FB5B7C">
              <w:rPr>
                <w:rFonts w:cs="Arial"/>
                <w:lang w:val="en-US"/>
              </w:rPr>
              <w:t>establishment of a pro</w:t>
            </w:r>
            <w:r>
              <w:rPr>
                <w:rFonts w:cs="Arial"/>
                <w:lang w:val="en-US"/>
              </w:rPr>
              <w:t>cedure</w:t>
            </w:r>
            <w:r w:rsidRPr="00FB5B7C">
              <w:rPr>
                <w:rFonts w:cs="Arial"/>
                <w:lang w:val="en-US"/>
              </w:rPr>
              <w:t xml:space="preserve"> f</w:t>
            </w:r>
            <w:r w:rsidRPr="00A65F3F">
              <w:rPr>
                <w:rFonts w:cs="Arial"/>
                <w:lang w:val="en-US"/>
              </w:rPr>
              <w:t>or the regular check, assessment, and evaluation of the effectiveness of technical and organizational measures to ensure safety of processing, and</w:t>
            </w:r>
          </w:p>
        </w:tc>
      </w:tr>
      <w:tr w:rsidR="007726DE" w:rsidRPr="00855C71" w14:paraId="1202F1DF" w14:textId="77777777" w:rsidTr="00E76DDB">
        <w:trPr>
          <w:tblCellSpacing w:w="15" w:type="dxa"/>
        </w:trPr>
        <w:tc>
          <w:tcPr>
            <w:tcW w:w="180" w:type="dxa"/>
            <w:tcBorders>
              <w:top w:val="nil"/>
              <w:left w:val="nil"/>
              <w:bottom w:val="nil"/>
              <w:right w:val="nil"/>
            </w:tcBorders>
            <w:tcMar>
              <w:top w:w="48" w:type="dxa"/>
              <w:left w:w="48" w:type="dxa"/>
              <w:bottom w:w="48" w:type="dxa"/>
              <w:right w:w="48" w:type="dxa"/>
            </w:tcMar>
            <w:hideMark/>
          </w:tcPr>
          <w:p w14:paraId="4A1E89AA" w14:textId="77777777" w:rsidR="007726DE" w:rsidRPr="00FB5B7C" w:rsidRDefault="007726DE" w:rsidP="00E76DDB">
            <w:pPr>
              <w:spacing w:line="276" w:lineRule="auto"/>
              <w:jc w:val="both"/>
              <w:rPr>
                <w:rFonts w:cs="Arial"/>
                <w:lang w:val="en-US"/>
              </w:rPr>
            </w:pPr>
          </w:p>
        </w:tc>
        <w:tc>
          <w:tcPr>
            <w:tcW w:w="0" w:type="auto"/>
            <w:tcBorders>
              <w:top w:val="nil"/>
              <w:left w:val="nil"/>
              <w:bottom w:val="nil"/>
              <w:right w:val="nil"/>
            </w:tcBorders>
            <w:tcMar>
              <w:top w:w="48" w:type="dxa"/>
              <w:left w:w="48" w:type="dxa"/>
              <w:bottom w:w="48" w:type="dxa"/>
              <w:right w:w="48" w:type="dxa"/>
            </w:tcMar>
            <w:hideMark/>
          </w:tcPr>
          <w:p w14:paraId="10940A70" w14:textId="77777777" w:rsidR="007726DE" w:rsidRPr="00FB5B7C" w:rsidRDefault="007726DE" w:rsidP="00E76DDB">
            <w:pPr>
              <w:spacing w:line="276" w:lineRule="auto"/>
              <w:jc w:val="both"/>
              <w:rPr>
                <w:rFonts w:cs="Arial"/>
                <w:lang w:val="en-US"/>
              </w:rPr>
            </w:pPr>
            <w:r w:rsidRPr="00FB5B7C">
              <w:rPr>
                <w:rFonts w:cs="Arial"/>
                <w:lang w:val="en-US"/>
              </w:rPr>
              <w:t>9.</w:t>
            </w:r>
          </w:p>
        </w:tc>
        <w:tc>
          <w:tcPr>
            <w:tcW w:w="0" w:type="auto"/>
            <w:tcBorders>
              <w:top w:val="nil"/>
              <w:left w:val="nil"/>
              <w:bottom w:val="nil"/>
              <w:right w:val="nil"/>
            </w:tcBorders>
            <w:tcMar>
              <w:top w:w="48" w:type="dxa"/>
              <w:left w:w="48" w:type="dxa"/>
              <w:bottom w:w="48" w:type="dxa"/>
              <w:right w:w="48" w:type="dxa"/>
            </w:tcMar>
            <w:hideMark/>
          </w:tcPr>
          <w:p w14:paraId="1A612FB3" w14:textId="77777777" w:rsidR="007726DE" w:rsidRPr="00FB5B7C" w:rsidRDefault="007726DE" w:rsidP="00E76DDB">
            <w:pPr>
              <w:spacing w:line="276" w:lineRule="auto"/>
              <w:jc w:val="both"/>
              <w:rPr>
                <w:rFonts w:cs="Arial"/>
                <w:lang w:val="en-US"/>
              </w:rPr>
            </w:pPr>
            <w:r w:rsidRPr="00FB5B7C">
              <w:rPr>
                <w:rFonts w:cs="Arial"/>
                <w:lang w:val="en-US"/>
              </w:rPr>
              <w:t>specific procedures ensuring</w:t>
            </w:r>
            <w:r w:rsidRPr="00A65F3F">
              <w:rPr>
                <w:rFonts w:cs="Arial"/>
                <w:lang w:val="en-US"/>
              </w:rPr>
              <w:t xml:space="preserve"> compliance with the requirements of this act and of Directive</w:t>
            </w:r>
            <w:r w:rsidRPr="00FB5B7C">
              <w:rPr>
                <w:rFonts w:cs="Arial"/>
                <w:lang w:val="en-US"/>
              </w:rPr>
              <w:t xml:space="preserve"> [EU] 2016/679</w:t>
            </w:r>
            <w:r w:rsidRPr="00A65F3F">
              <w:rPr>
                <w:rFonts w:cs="Arial"/>
                <w:lang w:val="en-US"/>
              </w:rPr>
              <w:t xml:space="preserve"> in the case of transmission or processing of personal data for other purposes</w:t>
            </w:r>
            <w:r w:rsidRPr="00FB5B7C">
              <w:rPr>
                <w:rFonts w:cs="Arial"/>
                <w:lang w:val="en-US"/>
              </w:rPr>
              <w:t>.</w:t>
            </w:r>
          </w:p>
          <w:p w14:paraId="1D6FA4AB" w14:textId="77777777" w:rsidR="007726DE" w:rsidRPr="00FB5B7C" w:rsidRDefault="007726DE" w:rsidP="00E76DDB">
            <w:pPr>
              <w:spacing w:line="276" w:lineRule="auto"/>
              <w:jc w:val="both"/>
              <w:rPr>
                <w:rFonts w:cs="Arial"/>
                <w:lang w:val="en-US"/>
              </w:rPr>
            </w:pPr>
          </w:p>
          <w:p w14:paraId="5F0D0844" w14:textId="77777777" w:rsidR="007726DE" w:rsidRPr="00FB5B7C" w:rsidRDefault="007726DE" w:rsidP="00E76DDB">
            <w:pPr>
              <w:spacing w:line="276" w:lineRule="auto"/>
              <w:jc w:val="both"/>
              <w:rPr>
                <w:rFonts w:cs="Arial"/>
                <w:lang w:val="en-US"/>
              </w:rPr>
            </w:pPr>
          </w:p>
        </w:tc>
      </w:tr>
    </w:tbl>
    <w:p w14:paraId="1605B156" w14:textId="77777777" w:rsidR="007726DE" w:rsidRPr="00FB5B7C" w:rsidRDefault="007726DE" w:rsidP="007726DE">
      <w:pPr>
        <w:shd w:val="clear" w:color="auto" w:fill="FFFFFF"/>
        <w:spacing w:line="276" w:lineRule="auto"/>
        <w:jc w:val="both"/>
        <w:textAlignment w:val="baseline"/>
        <w:outlineLvl w:val="0"/>
        <w:rPr>
          <w:rFonts w:cs="Arial"/>
          <w:lang w:val="en-US"/>
        </w:rPr>
      </w:pPr>
      <w:r w:rsidRPr="00FB5B7C">
        <w:rPr>
          <w:rFonts w:cs="Arial"/>
          <w:lang w:val="en-US"/>
        </w:rPr>
        <w:t>(2) </w:t>
      </w:r>
      <w:r w:rsidRPr="00FB5B7C">
        <w:rPr>
          <w:rFonts w:cs="Arial"/>
          <w:vertAlign w:val="superscript"/>
          <w:lang w:val="en-US"/>
        </w:rPr>
        <w:t>1</w:t>
      </w:r>
      <w:r w:rsidRPr="00FB5B7C">
        <w:rPr>
          <w:rFonts w:cs="Arial"/>
          <w:lang w:val="en-US"/>
        </w:rPr>
        <w:t>Persons employed at public offi</w:t>
      </w:r>
      <w:r w:rsidRPr="00A65F3F">
        <w:rPr>
          <w:rFonts w:cs="Arial"/>
          <w:lang w:val="en-US"/>
        </w:rPr>
        <w:t>ces ar</w:t>
      </w:r>
      <w:r w:rsidRPr="00FB5B7C">
        <w:rPr>
          <w:rFonts w:cs="Arial"/>
          <w:lang w:val="en-US"/>
        </w:rPr>
        <w:t>e not allow</w:t>
      </w:r>
      <w:r w:rsidRPr="00A65F3F">
        <w:rPr>
          <w:rFonts w:cs="Arial"/>
          <w:lang w:val="en-US"/>
        </w:rPr>
        <w:t>ed to process personal data unauthorized (data secrecy)</w:t>
      </w:r>
      <w:r w:rsidRPr="00FB5B7C">
        <w:rPr>
          <w:rFonts w:cs="Arial"/>
          <w:lang w:val="en-US"/>
        </w:rPr>
        <w:t>. </w:t>
      </w:r>
      <w:r w:rsidRPr="00FB5B7C">
        <w:rPr>
          <w:rFonts w:cs="Arial"/>
          <w:vertAlign w:val="superscript"/>
          <w:lang w:val="en-US"/>
        </w:rPr>
        <w:t>2</w:t>
      </w:r>
      <w:r w:rsidRPr="00A65F3F">
        <w:rPr>
          <w:rFonts w:cs="Arial"/>
          <w:lang w:val="en-US"/>
        </w:rPr>
        <w:t xml:space="preserve">The data </w:t>
      </w:r>
      <w:r w:rsidRPr="00FB5B7C">
        <w:rPr>
          <w:rFonts w:cs="Arial"/>
          <w:lang w:val="en-US"/>
        </w:rPr>
        <w:t xml:space="preserve">secrecy obligation shall remain effective even after </w:t>
      </w:r>
      <w:r>
        <w:rPr>
          <w:rFonts w:cs="Arial"/>
          <w:lang w:val="en-US"/>
        </w:rPr>
        <w:t>termination</w:t>
      </w:r>
      <w:r w:rsidRPr="00A65F3F">
        <w:rPr>
          <w:rFonts w:cs="Arial"/>
          <w:lang w:val="en-US"/>
        </w:rPr>
        <w:t xml:space="preserve"> of their activity</w:t>
      </w:r>
      <w:r w:rsidRPr="00FB5B7C">
        <w:rPr>
          <w:rFonts w:cs="Arial"/>
          <w:lang w:val="en-US"/>
        </w:rPr>
        <w:t>.</w:t>
      </w:r>
    </w:p>
    <w:p w14:paraId="7370E1FE" w14:textId="77777777" w:rsidR="007726DE" w:rsidRPr="00FB5B7C" w:rsidRDefault="007726DE" w:rsidP="007726DE">
      <w:pPr>
        <w:shd w:val="clear" w:color="auto" w:fill="FFFFFF"/>
        <w:spacing w:before="375" w:after="240" w:line="276" w:lineRule="auto"/>
        <w:textAlignment w:val="baseline"/>
        <w:outlineLvl w:val="0"/>
        <w:rPr>
          <w:rFonts w:cs="Arial"/>
          <w:b/>
          <w:lang w:val="en-US"/>
        </w:rPr>
      </w:pPr>
      <w:r w:rsidRPr="00FB5B7C">
        <w:rPr>
          <w:rFonts w:cs="Arial"/>
          <w:b/>
          <w:lang w:val="en-US"/>
        </w:rPr>
        <w:t>Article 29</w:t>
      </w:r>
      <w:r>
        <w:rPr>
          <w:rFonts w:cs="Arial"/>
          <w:b/>
          <w:lang w:val="en-US"/>
        </w:rPr>
        <w:t>,</w:t>
      </w:r>
      <w:r w:rsidRPr="00FB5B7C">
        <w:rPr>
          <w:rFonts w:cs="Arial"/>
          <w:b/>
          <w:lang w:val="en-US"/>
        </w:rPr>
        <w:t xml:space="preserve"> LDSG Penal Provisions (</w:t>
      </w:r>
      <w:r>
        <w:rPr>
          <w:rFonts w:cs="Arial"/>
          <w:b/>
          <w:lang w:val="en-US"/>
        </w:rPr>
        <w:t>to complement</w:t>
      </w:r>
      <w:r w:rsidRPr="00FB5B7C">
        <w:rPr>
          <w:rFonts w:cs="Arial"/>
          <w:b/>
          <w:lang w:val="en-US"/>
        </w:rPr>
        <w:t xml:space="preserve"> Article 84 of </w:t>
      </w:r>
      <w:r w:rsidRPr="00A65F3F">
        <w:rPr>
          <w:rFonts w:cs="Arial"/>
          <w:b/>
          <w:lang w:val="en-US"/>
        </w:rPr>
        <w:t>the Directive</w:t>
      </w:r>
      <w:r w:rsidRPr="00FB5B7C">
        <w:rPr>
          <w:rFonts w:cs="Arial"/>
          <w:b/>
          <w:lang w:val="en-US"/>
        </w:rPr>
        <w:t xml:space="preserve"> [EU] 2016/679)</w:t>
      </w:r>
    </w:p>
    <w:p w14:paraId="4C9ABE7D" w14:textId="77777777" w:rsidR="007726DE" w:rsidRPr="00FB5B7C" w:rsidRDefault="007726DE" w:rsidP="007726DE">
      <w:pPr>
        <w:shd w:val="clear" w:color="auto" w:fill="FFFFFF"/>
        <w:spacing w:line="276" w:lineRule="auto"/>
        <w:jc w:val="both"/>
        <w:textAlignment w:val="baseline"/>
        <w:rPr>
          <w:rFonts w:cs="Arial"/>
          <w:lang w:val="en-US"/>
        </w:rPr>
      </w:pPr>
      <w:r w:rsidRPr="00FB5B7C">
        <w:rPr>
          <w:rFonts w:cs="Arial"/>
          <w:lang w:val="en-US"/>
        </w:rPr>
        <w:t>(1) Persons shall be punished b</w:t>
      </w:r>
      <w:r w:rsidRPr="00A65F3F">
        <w:rPr>
          <w:rFonts w:cs="Arial"/>
          <w:lang w:val="en-US"/>
        </w:rPr>
        <w:t>y imprisonment for up to two years or a fine, if they</w:t>
      </w:r>
    </w:p>
    <w:tbl>
      <w:tblPr>
        <w:tblW w:w="0" w:type="auto"/>
        <w:tblCellSpacing w:w="15" w:type="dxa"/>
        <w:tblCellMar>
          <w:left w:w="0" w:type="dxa"/>
          <w:right w:w="0" w:type="dxa"/>
        </w:tblCellMar>
        <w:tblLook w:val="04A0" w:firstRow="1" w:lastRow="0" w:firstColumn="1" w:lastColumn="0" w:noHBand="0" w:noVBand="1"/>
      </w:tblPr>
      <w:tblGrid>
        <w:gridCol w:w="169"/>
        <w:gridCol w:w="310"/>
        <w:gridCol w:w="508"/>
        <w:gridCol w:w="8085"/>
      </w:tblGrid>
      <w:tr w:rsidR="007726DE" w:rsidRPr="00855C71" w14:paraId="113A5909" w14:textId="77777777" w:rsidTr="00E76DDB">
        <w:trPr>
          <w:tblCellSpacing w:w="15" w:type="dxa"/>
        </w:trPr>
        <w:tc>
          <w:tcPr>
            <w:tcW w:w="146" w:type="dxa"/>
            <w:tcMar>
              <w:top w:w="48" w:type="dxa"/>
              <w:left w:w="48" w:type="dxa"/>
              <w:bottom w:w="48" w:type="dxa"/>
              <w:right w:w="48" w:type="dxa"/>
            </w:tcMar>
            <w:hideMark/>
          </w:tcPr>
          <w:p w14:paraId="678AACEE" w14:textId="77777777" w:rsidR="007726DE" w:rsidRPr="00FB5B7C" w:rsidRDefault="007726DE" w:rsidP="00E76DDB">
            <w:pPr>
              <w:spacing w:line="276" w:lineRule="auto"/>
              <w:jc w:val="both"/>
              <w:rPr>
                <w:rFonts w:cs="Arial"/>
                <w:lang w:val="en-US"/>
              </w:rPr>
            </w:pPr>
          </w:p>
        </w:tc>
        <w:tc>
          <w:tcPr>
            <w:tcW w:w="0" w:type="auto"/>
            <w:tcMar>
              <w:top w:w="48" w:type="dxa"/>
              <w:left w:w="48" w:type="dxa"/>
              <w:bottom w:w="48" w:type="dxa"/>
              <w:right w:w="48" w:type="dxa"/>
            </w:tcMar>
            <w:hideMark/>
          </w:tcPr>
          <w:p w14:paraId="4E191967" w14:textId="77777777" w:rsidR="007726DE" w:rsidRPr="00FB5B7C" w:rsidRDefault="007726DE" w:rsidP="00E76DDB">
            <w:pPr>
              <w:spacing w:line="276" w:lineRule="auto"/>
              <w:jc w:val="both"/>
              <w:rPr>
                <w:rFonts w:cs="Arial"/>
                <w:lang w:val="en-US"/>
              </w:rPr>
            </w:pPr>
            <w:r w:rsidRPr="00FB5B7C">
              <w:rPr>
                <w:rFonts w:cs="Arial"/>
                <w:lang w:val="en-US"/>
              </w:rPr>
              <w:t>1.</w:t>
            </w:r>
          </w:p>
        </w:tc>
        <w:tc>
          <w:tcPr>
            <w:tcW w:w="388" w:type="dxa"/>
            <w:tcMar>
              <w:top w:w="48" w:type="dxa"/>
              <w:left w:w="48" w:type="dxa"/>
              <w:bottom w:w="48" w:type="dxa"/>
              <w:right w:w="48" w:type="dxa"/>
            </w:tcMar>
            <w:hideMark/>
          </w:tcPr>
          <w:p w14:paraId="33F05052" w14:textId="77777777" w:rsidR="007726DE" w:rsidRPr="00FB5B7C" w:rsidRDefault="007726DE" w:rsidP="00E76DDB">
            <w:pPr>
              <w:spacing w:line="276" w:lineRule="auto"/>
              <w:jc w:val="both"/>
              <w:rPr>
                <w:rFonts w:cs="Arial"/>
                <w:lang w:val="en-US"/>
              </w:rPr>
            </w:pPr>
            <w:r w:rsidRPr="00FB5B7C">
              <w:rPr>
                <w:rFonts w:cs="Arial"/>
                <w:lang w:val="en-US"/>
              </w:rPr>
              <w:t>a)</w:t>
            </w:r>
          </w:p>
        </w:tc>
        <w:tc>
          <w:tcPr>
            <w:tcW w:w="0" w:type="auto"/>
            <w:tcMar>
              <w:top w:w="48" w:type="dxa"/>
              <w:left w:w="48" w:type="dxa"/>
              <w:bottom w:w="48" w:type="dxa"/>
              <w:right w:w="48" w:type="dxa"/>
            </w:tcMar>
            <w:hideMark/>
          </w:tcPr>
          <w:p w14:paraId="254633B4" w14:textId="77777777" w:rsidR="007726DE" w:rsidRPr="00FB5B7C" w:rsidRDefault="007726DE" w:rsidP="00E76DDB">
            <w:pPr>
              <w:spacing w:line="276" w:lineRule="auto"/>
              <w:jc w:val="both"/>
              <w:rPr>
                <w:rFonts w:cs="Arial"/>
                <w:lang w:val="en-US"/>
              </w:rPr>
            </w:pPr>
            <w:r w:rsidRPr="00FB5B7C">
              <w:rPr>
                <w:rFonts w:cs="Arial"/>
                <w:lang w:val="en-US"/>
              </w:rPr>
              <w:t>store, use, change, tr</w:t>
            </w:r>
            <w:r w:rsidRPr="00A65F3F">
              <w:rPr>
                <w:rFonts w:cs="Arial"/>
                <w:lang w:val="en-US"/>
              </w:rPr>
              <w:t xml:space="preserve">ansmit or delete </w:t>
            </w:r>
            <w:r>
              <w:rPr>
                <w:rFonts w:cs="Arial"/>
                <w:lang w:val="en-US"/>
              </w:rPr>
              <w:t xml:space="preserve">protected personal </w:t>
            </w:r>
            <w:r w:rsidRPr="00A65F3F">
              <w:rPr>
                <w:rFonts w:cs="Arial"/>
                <w:lang w:val="en-US"/>
              </w:rPr>
              <w:t>data</w:t>
            </w:r>
            <w:r w:rsidRPr="00FB5B7C">
              <w:rPr>
                <w:rFonts w:cs="Arial"/>
                <w:lang w:val="en-US"/>
              </w:rPr>
              <w:t>,</w:t>
            </w:r>
          </w:p>
        </w:tc>
      </w:tr>
      <w:tr w:rsidR="007726DE" w:rsidRPr="00855C71" w14:paraId="735AA31F" w14:textId="77777777" w:rsidTr="00E76DDB">
        <w:trPr>
          <w:tblCellSpacing w:w="15" w:type="dxa"/>
        </w:trPr>
        <w:tc>
          <w:tcPr>
            <w:tcW w:w="146" w:type="dxa"/>
            <w:tcMar>
              <w:top w:w="48" w:type="dxa"/>
              <w:left w:w="48" w:type="dxa"/>
              <w:bottom w:w="48" w:type="dxa"/>
              <w:right w:w="48" w:type="dxa"/>
            </w:tcMar>
            <w:hideMark/>
          </w:tcPr>
          <w:p w14:paraId="06765D2E" w14:textId="77777777" w:rsidR="007726DE" w:rsidRPr="00FB5B7C" w:rsidRDefault="007726DE" w:rsidP="00E76DDB">
            <w:pPr>
              <w:spacing w:line="276" w:lineRule="auto"/>
              <w:jc w:val="both"/>
              <w:rPr>
                <w:rFonts w:cs="Arial"/>
                <w:lang w:val="en-US"/>
              </w:rPr>
            </w:pPr>
          </w:p>
        </w:tc>
        <w:tc>
          <w:tcPr>
            <w:tcW w:w="0" w:type="auto"/>
            <w:tcMar>
              <w:top w:w="48" w:type="dxa"/>
              <w:left w:w="48" w:type="dxa"/>
              <w:bottom w:w="48" w:type="dxa"/>
              <w:right w:w="48" w:type="dxa"/>
            </w:tcMar>
            <w:hideMark/>
          </w:tcPr>
          <w:p w14:paraId="05E155F4" w14:textId="77777777" w:rsidR="007726DE" w:rsidRPr="00FB5B7C" w:rsidRDefault="007726DE" w:rsidP="00E76DDB">
            <w:pPr>
              <w:spacing w:line="276" w:lineRule="auto"/>
              <w:jc w:val="both"/>
              <w:rPr>
                <w:rFonts w:cs="Arial"/>
                <w:lang w:val="en-US"/>
              </w:rPr>
            </w:pPr>
          </w:p>
        </w:tc>
        <w:tc>
          <w:tcPr>
            <w:tcW w:w="388" w:type="dxa"/>
            <w:tcMar>
              <w:top w:w="48" w:type="dxa"/>
              <w:left w:w="48" w:type="dxa"/>
              <w:bottom w:w="48" w:type="dxa"/>
              <w:right w:w="48" w:type="dxa"/>
            </w:tcMar>
            <w:hideMark/>
          </w:tcPr>
          <w:p w14:paraId="30AB1382" w14:textId="77777777" w:rsidR="007726DE" w:rsidRPr="00FB5B7C" w:rsidRDefault="007726DE" w:rsidP="00E76DDB">
            <w:pPr>
              <w:spacing w:line="276" w:lineRule="auto"/>
              <w:jc w:val="both"/>
              <w:rPr>
                <w:rFonts w:cs="Arial"/>
                <w:lang w:val="en-US"/>
              </w:rPr>
            </w:pPr>
            <w:r w:rsidRPr="00FB5B7C">
              <w:rPr>
                <w:rFonts w:cs="Arial"/>
                <w:lang w:val="en-US"/>
              </w:rPr>
              <w:t>b)</w:t>
            </w:r>
          </w:p>
        </w:tc>
        <w:tc>
          <w:tcPr>
            <w:tcW w:w="0" w:type="auto"/>
            <w:tcMar>
              <w:top w:w="48" w:type="dxa"/>
              <w:left w:w="48" w:type="dxa"/>
              <w:bottom w:w="48" w:type="dxa"/>
              <w:right w:w="48" w:type="dxa"/>
            </w:tcMar>
            <w:hideMark/>
          </w:tcPr>
          <w:p w14:paraId="2E183FF7" w14:textId="77777777" w:rsidR="007726DE" w:rsidRPr="00FB5B7C" w:rsidRDefault="007726DE" w:rsidP="00E76DDB">
            <w:pPr>
              <w:spacing w:line="276" w:lineRule="auto"/>
              <w:jc w:val="both"/>
              <w:rPr>
                <w:rFonts w:cs="Arial"/>
                <w:lang w:val="en-US"/>
              </w:rPr>
            </w:pPr>
            <w:r w:rsidRPr="00FB5B7C">
              <w:rPr>
                <w:rFonts w:cs="Arial"/>
                <w:lang w:val="en-US"/>
              </w:rPr>
              <w:t xml:space="preserve">keep available </w:t>
            </w:r>
            <w:r>
              <w:rPr>
                <w:rFonts w:cs="Arial"/>
                <w:lang w:val="en-US"/>
              </w:rPr>
              <w:t xml:space="preserve">protected personal </w:t>
            </w:r>
            <w:r w:rsidRPr="00A65F3F">
              <w:rPr>
                <w:rFonts w:cs="Arial"/>
                <w:lang w:val="en-US"/>
              </w:rPr>
              <w:t>data for retrieval by an automatic process, or</w:t>
            </w:r>
          </w:p>
        </w:tc>
      </w:tr>
      <w:tr w:rsidR="007726DE" w:rsidRPr="00855C71" w14:paraId="0F9D7809" w14:textId="77777777" w:rsidTr="00E76DDB">
        <w:trPr>
          <w:tblCellSpacing w:w="15" w:type="dxa"/>
        </w:trPr>
        <w:tc>
          <w:tcPr>
            <w:tcW w:w="146" w:type="dxa"/>
            <w:tcMar>
              <w:top w:w="48" w:type="dxa"/>
              <w:left w:w="48" w:type="dxa"/>
              <w:bottom w:w="48" w:type="dxa"/>
              <w:right w:w="48" w:type="dxa"/>
            </w:tcMar>
            <w:hideMark/>
          </w:tcPr>
          <w:p w14:paraId="7730C588" w14:textId="77777777" w:rsidR="007726DE" w:rsidRPr="00FB5B7C" w:rsidRDefault="007726DE" w:rsidP="00E76DDB">
            <w:pPr>
              <w:spacing w:line="276" w:lineRule="auto"/>
              <w:jc w:val="both"/>
              <w:rPr>
                <w:rFonts w:cs="Arial"/>
                <w:lang w:val="en-US"/>
              </w:rPr>
            </w:pPr>
          </w:p>
        </w:tc>
        <w:tc>
          <w:tcPr>
            <w:tcW w:w="0" w:type="auto"/>
            <w:tcMar>
              <w:top w:w="48" w:type="dxa"/>
              <w:left w:w="48" w:type="dxa"/>
              <w:bottom w:w="48" w:type="dxa"/>
              <w:right w:w="48" w:type="dxa"/>
            </w:tcMar>
            <w:hideMark/>
          </w:tcPr>
          <w:p w14:paraId="2516FA8E" w14:textId="77777777" w:rsidR="007726DE" w:rsidRPr="00FB5B7C" w:rsidRDefault="007726DE" w:rsidP="00E76DDB">
            <w:pPr>
              <w:spacing w:line="276" w:lineRule="auto"/>
              <w:jc w:val="both"/>
              <w:rPr>
                <w:rFonts w:cs="Arial"/>
                <w:lang w:val="en-US"/>
              </w:rPr>
            </w:pPr>
          </w:p>
        </w:tc>
        <w:tc>
          <w:tcPr>
            <w:tcW w:w="388" w:type="dxa"/>
            <w:tcMar>
              <w:top w:w="48" w:type="dxa"/>
              <w:left w:w="48" w:type="dxa"/>
              <w:bottom w:w="48" w:type="dxa"/>
              <w:right w:w="48" w:type="dxa"/>
            </w:tcMar>
            <w:hideMark/>
          </w:tcPr>
          <w:p w14:paraId="7D96CEB5" w14:textId="77777777" w:rsidR="007726DE" w:rsidRPr="00FB5B7C" w:rsidRDefault="007726DE" w:rsidP="00E76DDB">
            <w:pPr>
              <w:spacing w:line="276" w:lineRule="auto"/>
              <w:jc w:val="both"/>
              <w:rPr>
                <w:rFonts w:cs="Arial"/>
                <w:lang w:val="en-US"/>
              </w:rPr>
            </w:pPr>
            <w:r w:rsidRPr="00FB5B7C">
              <w:rPr>
                <w:rFonts w:cs="Arial"/>
                <w:lang w:val="en-US"/>
              </w:rPr>
              <w:t>c)</w:t>
            </w:r>
          </w:p>
        </w:tc>
        <w:tc>
          <w:tcPr>
            <w:tcW w:w="0" w:type="auto"/>
            <w:tcMar>
              <w:top w:w="48" w:type="dxa"/>
              <w:left w:w="48" w:type="dxa"/>
              <w:bottom w:w="48" w:type="dxa"/>
              <w:right w:w="48" w:type="dxa"/>
            </w:tcMar>
            <w:hideMark/>
          </w:tcPr>
          <w:p w14:paraId="1D84EDA4" w14:textId="77777777" w:rsidR="007726DE" w:rsidRPr="00FB5B7C" w:rsidRDefault="007726DE" w:rsidP="00E76DDB">
            <w:pPr>
              <w:spacing w:line="276" w:lineRule="auto"/>
              <w:jc w:val="both"/>
              <w:rPr>
                <w:rFonts w:cs="Arial"/>
                <w:lang w:val="en-US"/>
              </w:rPr>
            </w:pPr>
            <w:r w:rsidRPr="00A65F3F">
              <w:rPr>
                <w:rFonts w:cs="Arial"/>
                <w:lang w:val="en-US"/>
              </w:rPr>
              <w:t>retrieve</w:t>
            </w:r>
            <w:r w:rsidRPr="00FB5B7C">
              <w:rPr>
                <w:rFonts w:cs="Arial"/>
                <w:lang w:val="en-US"/>
              </w:rPr>
              <w:t xml:space="preserve"> </w:t>
            </w:r>
            <w:r>
              <w:rPr>
                <w:rFonts w:cs="Arial"/>
                <w:lang w:val="en-US"/>
              </w:rPr>
              <w:t xml:space="preserve">protected personal </w:t>
            </w:r>
            <w:r w:rsidRPr="00A65F3F">
              <w:rPr>
                <w:rFonts w:cs="Arial"/>
                <w:lang w:val="en-US"/>
              </w:rPr>
              <w:t xml:space="preserve">data </w:t>
            </w:r>
            <w:r w:rsidRPr="00FB5B7C">
              <w:rPr>
                <w:rFonts w:cs="Arial"/>
                <w:lang w:val="en-US"/>
              </w:rPr>
              <w:t>or o</w:t>
            </w:r>
            <w:r w:rsidRPr="00A65F3F">
              <w:rPr>
                <w:rFonts w:cs="Arial"/>
                <w:lang w:val="en-US"/>
              </w:rPr>
              <w:t xml:space="preserve">btain access to </w:t>
            </w:r>
            <w:r>
              <w:rPr>
                <w:rFonts w:cs="Arial"/>
                <w:lang w:val="en-US"/>
              </w:rPr>
              <w:t>them in</w:t>
            </w:r>
            <w:r w:rsidRPr="00A65F3F">
              <w:rPr>
                <w:rFonts w:cs="Arial"/>
                <w:lang w:val="en-US"/>
              </w:rPr>
              <w:t xml:space="preserve"> files for themselves or others</w:t>
            </w:r>
          </w:p>
        </w:tc>
      </w:tr>
      <w:tr w:rsidR="007726DE" w:rsidRPr="00855C71" w14:paraId="53429235" w14:textId="77777777" w:rsidTr="00E76DDB">
        <w:trPr>
          <w:tblCellSpacing w:w="15" w:type="dxa"/>
        </w:trPr>
        <w:tc>
          <w:tcPr>
            <w:tcW w:w="146" w:type="dxa"/>
            <w:tcMar>
              <w:top w:w="48" w:type="dxa"/>
              <w:left w:w="48" w:type="dxa"/>
              <w:bottom w:w="48" w:type="dxa"/>
              <w:right w:w="48" w:type="dxa"/>
            </w:tcMar>
          </w:tcPr>
          <w:p w14:paraId="2712A160" w14:textId="77777777" w:rsidR="007726DE" w:rsidRPr="00A65F3F" w:rsidRDefault="007726DE" w:rsidP="00E76DDB">
            <w:pPr>
              <w:spacing w:line="276" w:lineRule="auto"/>
              <w:jc w:val="both"/>
              <w:rPr>
                <w:rFonts w:cs="Arial"/>
                <w:lang w:val="en-US"/>
              </w:rPr>
            </w:pPr>
          </w:p>
        </w:tc>
        <w:tc>
          <w:tcPr>
            <w:tcW w:w="0" w:type="auto"/>
            <w:tcMar>
              <w:top w:w="48" w:type="dxa"/>
              <w:left w:w="48" w:type="dxa"/>
              <w:bottom w:w="48" w:type="dxa"/>
              <w:right w:w="48" w:type="dxa"/>
            </w:tcMar>
          </w:tcPr>
          <w:p w14:paraId="10C5AAE2" w14:textId="77777777" w:rsidR="007726DE" w:rsidRPr="00A65F3F" w:rsidRDefault="007726DE" w:rsidP="00E76DDB">
            <w:pPr>
              <w:spacing w:line="276" w:lineRule="auto"/>
              <w:jc w:val="both"/>
              <w:rPr>
                <w:rFonts w:cs="Arial"/>
                <w:lang w:val="en-US"/>
              </w:rPr>
            </w:pPr>
          </w:p>
        </w:tc>
        <w:tc>
          <w:tcPr>
            <w:tcW w:w="8494" w:type="dxa"/>
            <w:gridSpan w:val="2"/>
            <w:tcMar>
              <w:top w:w="48" w:type="dxa"/>
              <w:left w:w="48" w:type="dxa"/>
              <w:bottom w:w="48" w:type="dxa"/>
              <w:right w:w="48" w:type="dxa"/>
            </w:tcMar>
          </w:tcPr>
          <w:p w14:paraId="0A394CC3" w14:textId="77777777" w:rsidR="007726DE" w:rsidRPr="00A65F3F" w:rsidDel="005C3327" w:rsidRDefault="007726DE" w:rsidP="00E76DDB">
            <w:pPr>
              <w:spacing w:line="276" w:lineRule="auto"/>
              <w:jc w:val="both"/>
              <w:rPr>
                <w:rFonts w:cs="Arial"/>
                <w:lang w:val="en-US"/>
              </w:rPr>
            </w:pPr>
            <w:r w:rsidRPr="00A65F3F">
              <w:rPr>
                <w:rFonts w:cs="Arial"/>
                <w:lang w:val="en-US"/>
              </w:rPr>
              <w:t>without being authorized by this Act or Directive (EU) 679/2016, or</w:t>
            </w:r>
            <w:r>
              <w:rPr>
                <w:rFonts w:cs="Arial"/>
                <w:lang w:val="en-US"/>
              </w:rPr>
              <w:t xml:space="preserve"> if they</w:t>
            </w:r>
          </w:p>
        </w:tc>
      </w:tr>
      <w:tr w:rsidR="007726DE" w:rsidRPr="00855C71" w14:paraId="140D3C8A" w14:textId="77777777" w:rsidTr="00E76DDB">
        <w:trPr>
          <w:tblCellSpacing w:w="15" w:type="dxa"/>
        </w:trPr>
        <w:tc>
          <w:tcPr>
            <w:tcW w:w="146" w:type="dxa"/>
            <w:tcMar>
              <w:top w:w="48" w:type="dxa"/>
              <w:left w:w="48" w:type="dxa"/>
              <w:bottom w:w="48" w:type="dxa"/>
              <w:right w:w="48" w:type="dxa"/>
            </w:tcMar>
            <w:hideMark/>
          </w:tcPr>
          <w:p w14:paraId="3BEFCC07" w14:textId="77777777" w:rsidR="007726DE" w:rsidRPr="00FB5B7C" w:rsidRDefault="007726DE" w:rsidP="00E76DDB">
            <w:pPr>
              <w:spacing w:line="276" w:lineRule="auto"/>
              <w:jc w:val="both"/>
              <w:rPr>
                <w:rFonts w:cs="Arial"/>
                <w:lang w:val="en-US"/>
              </w:rPr>
            </w:pPr>
          </w:p>
        </w:tc>
        <w:tc>
          <w:tcPr>
            <w:tcW w:w="0" w:type="auto"/>
            <w:tcMar>
              <w:top w:w="48" w:type="dxa"/>
              <w:left w:w="48" w:type="dxa"/>
              <w:bottom w:w="48" w:type="dxa"/>
              <w:right w:w="48" w:type="dxa"/>
            </w:tcMar>
            <w:hideMark/>
          </w:tcPr>
          <w:p w14:paraId="7972FB09" w14:textId="77777777" w:rsidR="007726DE" w:rsidRPr="00FB5B7C" w:rsidRDefault="007726DE" w:rsidP="00E76DDB">
            <w:pPr>
              <w:spacing w:line="276" w:lineRule="auto"/>
              <w:jc w:val="both"/>
              <w:rPr>
                <w:rFonts w:cs="Arial"/>
                <w:lang w:val="en-US"/>
              </w:rPr>
            </w:pPr>
            <w:r w:rsidRPr="00FB5B7C">
              <w:rPr>
                <w:rFonts w:cs="Arial"/>
                <w:lang w:val="en-US"/>
              </w:rPr>
              <w:t>2.</w:t>
            </w:r>
          </w:p>
        </w:tc>
        <w:tc>
          <w:tcPr>
            <w:tcW w:w="0" w:type="auto"/>
            <w:gridSpan w:val="2"/>
            <w:tcMar>
              <w:top w:w="48" w:type="dxa"/>
              <w:left w:w="48" w:type="dxa"/>
              <w:bottom w:w="48" w:type="dxa"/>
              <w:right w:w="48" w:type="dxa"/>
            </w:tcMar>
            <w:hideMark/>
          </w:tcPr>
          <w:p w14:paraId="4B1587F2" w14:textId="77777777" w:rsidR="007726DE" w:rsidRPr="00FB5B7C" w:rsidRDefault="007726DE" w:rsidP="00E76DDB">
            <w:pPr>
              <w:spacing w:line="276" w:lineRule="auto"/>
              <w:jc w:val="both"/>
              <w:rPr>
                <w:rFonts w:cs="Arial"/>
                <w:lang w:val="en-US"/>
              </w:rPr>
            </w:pPr>
            <w:r w:rsidRPr="00FB5B7C">
              <w:rPr>
                <w:rFonts w:cs="Arial"/>
                <w:lang w:val="en-US"/>
              </w:rPr>
              <w:t xml:space="preserve">fraudulently obtain </w:t>
            </w:r>
            <w:r w:rsidRPr="00A65F3F">
              <w:rPr>
                <w:rFonts w:cs="Arial"/>
                <w:lang w:val="en-US"/>
              </w:rPr>
              <w:t xml:space="preserve">by the provision of incorrect information </w:t>
            </w:r>
            <w:r w:rsidRPr="00FB5B7C">
              <w:rPr>
                <w:rFonts w:cs="Arial"/>
                <w:lang w:val="en-US"/>
              </w:rPr>
              <w:t xml:space="preserve">personal data </w:t>
            </w:r>
            <w:r>
              <w:rPr>
                <w:rFonts w:cs="Arial"/>
                <w:lang w:val="en-US"/>
              </w:rPr>
              <w:t xml:space="preserve">that are </w:t>
            </w:r>
            <w:r w:rsidRPr="00FB5B7C">
              <w:rPr>
                <w:rFonts w:cs="Arial"/>
                <w:lang w:val="en-US"/>
              </w:rPr>
              <w:t>protected by this Act or Directive (EU) 679/2016 an</w:t>
            </w:r>
            <w:r w:rsidRPr="00A65F3F">
              <w:rPr>
                <w:rFonts w:cs="Arial"/>
                <w:lang w:val="en-US"/>
              </w:rPr>
              <w:t xml:space="preserve">d </w:t>
            </w:r>
            <w:r>
              <w:rPr>
                <w:rFonts w:cs="Arial"/>
                <w:lang w:val="en-US"/>
              </w:rPr>
              <w:t xml:space="preserve">are </w:t>
            </w:r>
            <w:r w:rsidRPr="00A65F3F">
              <w:rPr>
                <w:rFonts w:cs="Arial"/>
                <w:lang w:val="en-US"/>
              </w:rPr>
              <w:t xml:space="preserve">not generally accessible </w:t>
            </w:r>
          </w:p>
        </w:tc>
      </w:tr>
    </w:tbl>
    <w:p w14:paraId="5AD823A4" w14:textId="77777777" w:rsidR="007726DE" w:rsidRDefault="007726DE" w:rsidP="007726DE">
      <w:pPr>
        <w:shd w:val="clear" w:color="auto" w:fill="FFFFFF"/>
        <w:spacing w:line="276" w:lineRule="auto"/>
        <w:jc w:val="both"/>
        <w:textAlignment w:val="baseline"/>
        <w:rPr>
          <w:rFonts w:cs="Arial"/>
          <w:lang w:val="en-US"/>
        </w:rPr>
      </w:pPr>
      <w:r w:rsidRPr="00FB5B7C">
        <w:rPr>
          <w:rFonts w:cs="Arial"/>
          <w:lang w:val="en-US"/>
        </w:rPr>
        <w:t>against payment or with th</w:t>
      </w:r>
      <w:r w:rsidRPr="00A65F3F">
        <w:rPr>
          <w:rFonts w:cs="Arial"/>
          <w:lang w:val="en-US"/>
        </w:rPr>
        <w:t>e intention to enrich themselves or others or to damage another person</w:t>
      </w:r>
      <w:r w:rsidRPr="00FB5B7C">
        <w:rPr>
          <w:rFonts w:cs="Arial"/>
          <w:lang w:val="en-US"/>
        </w:rPr>
        <w:t>.</w:t>
      </w:r>
    </w:p>
    <w:p w14:paraId="30DC3C8C" w14:textId="77777777" w:rsidR="007726DE" w:rsidRPr="00FB5B7C" w:rsidRDefault="007726DE" w:rsidP="007726DE">
      <w:pPr>
        <w:shd w:val="clear" w:color="auto" w:fill="FFFFFF"/>
        <w:spacing w:line="276" w:lineRule="auto"/>
        <w:jc w:val="both"/>
        <w:textAlignment w:val="baseline"/>
        <w:rPr>
          <w:rFonts w:cs="Arial"/>
          <w:lang w:val="en-US"/>
        </w:rPr>
      </w:pPr>
    </w:p>
    <w:p w14:paraId="0C0B84E7" w14:textId="77777777" w:rsidR="007726DE" w:rsidRPr="00FB5B7C" w:rsidRDefault="007726DE" w:rsidP="007726DE">
      <w:pPr>
        <w:shd w:val="clear" w:color="auto" w:fill="FFFFFF"/>
        <w:spacing w:line="276" w:lineRule="auto"/>
        <w:jc w:val="both"/>
        <w:textAlignment w:val="baseline"/>
        <w:rPr>
          <w:rFonts w:cs="Arial"/>
          <w:lang w:val="en-US"/>
        </w:rPr>
      </w:pPr>
      <w:r w:rsidRPr="00FB5B7C">
        <w:rPr>
          <w:rFonts w:cs="Arial"/>
          <w:lang w:val="en-US"/>
        </w:rPr>
        <w:t>(2) </w:t>
      </w:r>
      <w:r w:rsidRPr="00FB5B7C">
        <w:rPr>
          <w:rFonts w:cs="Arial"/>
          <w:vertAlign w:val="superscript"/>
          <w:lang w:val="en-US"/>
        </w:rPr>
        <w:t>1</w:t>
      </w:r>
      <w:r w:rsidRPr="00FB5B7C">
        <w:rPr>
          <w:rFonts w:cs="Arial"/>
          <w:lang w:val="en-US"/>
        </w:rPr>
        <w:t>The act will be prosecuted on request on</w:t>
      </w:r>
      <w:r w:rsidRPr="00A65F3F">
        <w:rPr>
          <w:rFonts w:cs="Arial"/>
          <w:lang w:val="en-US"/>
        </w:rPr>
        <w:t xml:space="preserve">ly. </w:t>
      </w:r>
      <w:r w:rsidRPr="00FB5B7C">
        <w:rPr>
          <w:rFonts w:cs="Arial"/>
          <w:lang w:val="en-US"/>
        </w:rPr>
        <w:t> </w:t>
      </w:r>
      <w:r w:rsidRPr="00FB5B7C">
        <w:rPr>
          <w:rFonts w:cs="Arial"/>
          <w:vertAlign w:val="superscript"/>
          <w:lang w:val="en-US"/>
        </w:rPr>
        <w:t>2</w:t>
      </w:r>
      <w:r w:rsidRPr="00FB5B7C">
        <w:rPr>
          <w:rFonts w:cs="Arial"/>
          <w:lang w:val="en-US"/>
        </w:rPr>
        <w:t>Th</w:t>
      </w:r>
      <w:r>
        <w:rPr>
          <w:rFonts w:cs="Arial"/>
          <w:lang w:val="en-US"/>
        </w:rPr>
        <w:t>is</w:t>
      </w:r>
      <w:r w:rsidRPr="00FB5B7C">
        <w:rPr>
          <w:rFonts w:cs="Arial"/>
          <w:lang w:val="en-US"/>
        </w:rPr>
        <w:t xml:space="preserve"> request may be made by the data subject, </w:t>
      </w:r>
      <w:r w:rsidRPr="00A65F3F">
        <w:rPr>
          <w:rFonts w:cs="Arial"/>
          <w:lang w:val="en-US"/>
        </w:rPr>
        <w:t xml:space="preserve">public office, processor, State Data Protection Commissioner, Radio Officer for Data Protection, and supervisory authorities. </w:t>
      </w:r>
    </w:p>
    <w:p w14:paraId="30F654AE" w14:textId="77777777" w:rsidR="000D2520" w:rsidRDefault="007718D7">
      <w:r>
        <w:rPr>
          <w:noProof/>
          <w:lang w:eastAsia="de-DE"/>
        </w:rPr>
        <mc:AlternateContent>
          <mc:Choice Requires="wps">
            <w:drawing>
              <wp:anchor distT="0" distB="0" distL="114300" distR="114300" simplePos="0" relativeHeight="251659264" behindDoc="1" locked="0" layoutInCell="1" allowOverlap="1" wp14:anchorId="40426803" wp14:editId="4E9D184D">
                <wp:simplePos x="0" y="0"/>
                <wp:positionH relativeFrom="column">
                  <wp:posOffset>-609600</wp:posOffset>
                </wp:positionH>
                <wp:positionV relativeFrom="paragraph">
                  <wp:posOffset>4990465</wp:posOffset>
                </wp:positionV>
                <wp:extent cx="295275" cy="2419200"/>
                <wp:effectExtent l="0" t="0" r="9525" b="63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B3BAF" w14:textId="77777777" w:rsidR="007718D7" w:rsidRPr="00353BD3" w:rsidRDefault="007718D7" w:rsidP="007718D7">
                            <w:pPr>
                              <w:rPr>
                                <w:sz w:val="12"/>
                                <w:szCs w:val="12"/>
                              </w:rPr>
                            </w:pPr>
                            <w:r w:rsidRPr="00353BD3">
                              <w:rPr>
                                <w:sz w:val="12"/>
                                <w:szCs w:val="12"/>
                              </w:rPr>
                              <w:t>U_PSE_PB_PRAK-CN_01_05-20 Vorübergehend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26803" id="_x0000_t202" coordsize="21600,21600" o:spt="202" path="m,l,21600r21600,l21600,xe">
                <v:stroke joinstyle="miter"/>
                <v:path gradientshapeok="t" o:connecttype="rect"/>
              </v:shapetype>
              <v:shape id="Textfeld 1" o:spid="_x0000_s1027" type="#_x0000_t202" style="position:absolute;margin-left:-48pt;margin-top:392.95pt;width:23.2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" stroked="f">
                <v:textbox style="layout-flow:vertical;mso-layout-flow-alt:bottom-to-top">
                  <w:txbxContent>
                    <w:p w14:paraId="2B8B3BAF" w14:textId="77777777" w:rsidR="007718D7" w:rsidRPr="00353BD3" w:rsidRDefault="007718D7" w:rsidP="007718D7">
                      <w:pPr>
                        <w:rPr>
                          <w:sz w:val="12"/>
                          <w:szCs w:val="12"/>
                        </w:rPr>
                      </w:pPr>
                      <w:r w:rsidRPr="00353BD3">
                        <w:rPr>
                          <w:sz w:val="12"/>
                          <w:szCs w:val="12"/>
                        </w:rPr>
                        <w:t>U_PSE_PB_PRAK-CN_01_05-20 Vorübergehend</w:t>
                      </w:r>
                    </w:p>
                  </w:txbxContent>
                </v:textbox>
              </v:shape>
            </w:pict>
          </mc:Fallback>
        </mc:AlternateContent>
      </w:r>
    </w:p>
    <w:sectPr w:rsidR="000D2520">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E9E4A" w14:textId="77777777" w:rsidR="000C5625" w:rsidRDefault="000C5625" w:rsidP="00262C54">
      <w:r>
        <w:separator/>
      </w:r>
    </w:p>
  </w:endnote>
  <w:endnote w:type="continuationSeparator" w:id="0">
    <w:p w14:paraId="53762927" w14:textId="77777777" w:rsidR="000C5625" w:rsidRDefault="000C5625" w:rsidP="0026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BBA9" w14:textId="77777777" w:rsidR="000C5625" w:rsidRDefault="000C5625" w:rsidP="00262C54">
      <w:r>
        <w:separator/>
      </w:r>
    </w:p>
  </w:footnote>
  <w:footnote w:type="continuationSeparator" w:id="0">
    <w:p w14:paraId="72611546" w14:textId="77777777" w:rsidR="000C5625" w:rsidRDefault="000C5625" w:rsidP="0026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15A6" w14:textId="77777777" w:rsidR="00591FAE" w:rsidRDefault="00591FAE"/>
  <w:tbl>
    <w:tblPr>
      <w:tblW w:w="0" w:type="auto"/>
      <w:tblLook w:val="04A0" w:firstRow="1" w:lastRow="0" w:firstColumn="1" w:lastColumn="0" w:noHBand="0" w:noVBand="1"/>
    </w:tblPr>
    <w:tblGrid>
      <w:gridCol w:w="2268"/>
      <w:gridCol w:w="6794"/>
    </w:tblGrid>
    <w:tr w:rsidR="007A50D7" w:rsidRPr="00855C71" w14:paraId="7A86CFA2" w14:textId="77777777" w:rsidTr="004437FF">
      <w:tc>
        <w:tcPr>
          <w:tcW w:w="2268" w:type="dxa"/>
          <w:shd w:val="clear" w:color="auto" w:fill="auto"/>
        </w:tcPr>
        <w:p w14:paraId="077F2D71" w14:textId="77777777" w:rsidR="007A50D7" w:rsidRPr="00C314B7" w:rsidRDefault="007A50D7" w:rsidP="007A50D7">
          <w:pPr>
            <w:pStyle w:val="Kopfzeile"/>
          </w:pPr>
          <w:r w:rsidRPr="001235F8">
            <w:rPr>
              <w:noProof/>
              <w:lang w:eastAsia="de-DE"/>
            </w:rPr>
            <w:drawing>
              <wp:inline distT="0" distB="0" distL="0" distR="0" wp14:anchorId="3FBFCD19" wp14:editId="3C2C0E66">
                <wp:extent cx="1082040" cy="541020"/>
                <wp:effectExtent l="0" t="0" r="0" b="0"/>
                <wp:docPr id="2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inline>
            </w:drawing>
          </w:r>
        </w:p>
      </w:tc>
      <w:tc>
        <w:tcPr>
          <w:tcW w:w="6794" w:type="dxa"/>
          <w:shd w:val="clear" w:color="auto" w:fill="auto"/>
          <w:vAlign w:val="center"/>
        </w:tcPr>
        <w:p w14:paraId="598C2B44" w14:textId="77777777" w:rsidR="00FB3F05" w:rsidRDefault="00FB3F05" w:rsidP="00F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s="Arial"/>
              <w:b/>
              <w:color w:val="009682"/>
              <w:sz w:val="28"/>
              <w:szCs w:val="28"/>
            </w:rPr>
          </w:pPr>
        </w:p>
        <w:p w14:paraId="34F01C9F" w14:textId="6FFDA6AD" w:rsidR="007A50D7" w:rsidRPr="00353BD3" w:rsidRDefault="00FB3F05" w:rsidP="00F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Fonts w:ascii="Times New Roman" w:hAnsi="Times New Roman"/>
              <w:noProof/>
              <w:sz w:val="24"/>
              <w:szCs w:val="24"/>
              <w:lang w:eastAsia="de-DE"/>
            </w:rPr>
            <w:drawing>
              <wp:anchor distT="0" distB="0" distL="114935" distR="114935" simplePos="0" relativeHeight="251659264" behindDoc="1" locked="0" layoutInCell="1" allowOverlap="1" wp14:anchorId="0131427D" wp14:editId="4AD46A4C">
                <wp:simplePos x="0" y="0"/>
                <wp:positionH relativeFrom="page">
                  <wp:posOffset>-1715770</wp:posOffset>
                </wp:positionH>
                <wp:positionV relativeFrom="page">
                  <wp:posOffset>-153035</wp:posOffset>
                </wp:positionV>
                <wp:extent cx="6666865" cy="9947275"/>
                <wp:effectExtent l="0" t="0" r="0" b="0"/>
                <wp:wrapNone/>
                <wp:docPr id="2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53BD3">
            <w:rPr>
              <w:rFonts w:eastAsiaTheme="minorHAnsi" w:cs="Arial"/>
              <w:b/>
              <w:color w:val="009682"/>
              <w:sz w:val="28"/>
              <w:szCs w:val="28"/>
              <w:lang w:val="en-US"/>
            </w:rPr>
            <w:t>Information</w:t>
          </w:r>
          <w:r w:rsidRPr="00FB5B7C">
            <w:rPr>
              <w:rFonts w:cs="Arial"/>
              <w:b/>
              <w:lang w:val="en-US"/>
            </w:rPr>
            <w:t xml:space="preserve"> </w:t>
          </w:r>
          <w:r w:rsidRPr="00353BD3">
            <w:rPr>
              <w:rFonts w:eastAsiaTheme="minorHAnsi" w:cs="Arial"/>
              <w:b/>
              <w:color w:val="009682"/>
              <w:sz w:val="28"/>
              <w:szCs w:val="28"/>
              <w:lang w:val="en-US"/>
            </w:rPr>
            <w:t>on Compliance with Data Secrecy</w:t>
          </w:r>
        </w:p>
      </w:tc>
    </w:tr>
  </w:tbl>
  <w:p w14:paraId="20D86BD2" w14:textId="1B561345" w:rsidR="00262C54" w:rsidRPr="00353BD3" w:rsidRDefault="00262C54">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A3884"/>
    <w:multiLevelType w:val="hybridMultilevel"/>
    <w:tmpl w:val="EC44AC60"/>
    <w:lvl w:ilvl="0" w:tplc="E2A214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4dDUUzesbJpEq3ptkts91URIfMS8VEf13mm2DciQ04cBpQW5lugEtbGj8vFN7NIdl2MK5lbPLtOimpK6QLH3zw==" w:salt="N9cYL0ZX/dJeavDDkyHLQA=="/>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54"/>
    <w:rsid w:val="00092AC4"/>
    <w:rsid w:val="000C5625"/>
    <w:rsid w:val="000D2520"/>
    <w:rsid w:val="001033D5"/>
    <w:rsid w:val="00131748"/>
    <w:rsid w:val="00187E56"/>
    <w:rsid w:val="00262C54"/>
    <w:rsid w:val="002D6490"/>
    <w:rsid w:val="00353BD3"/>
    <w:rsid w:val="003D74FA"/>
    <w:rsid w:val="004D7C29"/>
    <w:rsid w:val="00591FAE"/>
    <w:rsid w:val="005E39AE"/>
    <w:rsid w:val="006A1351"/>
    <w:rsid w:val="006C00EE"/>
    <w:rsid w:val="006D3004"/>
    <w:rsid w:val="007718D7"/>
    <w:rsid w:val="007726DE"/>
    <w:rsid w:val="007A50D7"/>
    <w:rsid w:val="00855C71"/>
    <w:rsid w:val="00961C43"/>
    <w:rsid w:val="009A07E3"/>
    <w:rsid w:val="00C8216A"/>
    <w:rsid w:val="00D272B0"/>
    <w:rsid w:val="00EE60AE"/>
    <w:rsid w:val="00F33CBD"/>
    <w:rsid w:val="00F41CBF"/>
    <w:rsid w:val="00FB3F05"/>
    <w:rsid w:val="00FC6B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6C31F1"/>
  <w15:chartTrackingRefBased/>
  <w15:docId w15:val="{52C06FFB-7112-40A7-9B41-211B36AE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18D7"/>
    <w:pPr>
      <w:spacing w:after="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2C54"/>
    <w:pPr>
      <w:tabs>
        <w:tab w:val="center" w:pos="4536"/>
        <w:tab w:val="right" w:pos="9072"/>
      </w:tabs>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262C54"/>
  </w:style>
  <w:style w:type="paragraph" w:styleId="Fuzeile">
    <w:name w:val="footer"/>
    <w:basedOn w:val="Standard"/>
    <w:link w:val="FuzeileZchn"/>
    <w:uiPriority w:val="99"/>
    <w:unhideWhenUsed/>
    <w:rsid w:val="00262C54"/>
    <w:pPr>
      <w:tabs>
        <w:tab w:val="center" w:pos="4536"/>
        <w:tab w:val="right" w:pos="9072"/>
      </w:tabs>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262C54"/>
  </w:style>
  <w:style w:type="paragraph" w:styleId="Listenabsatz">
    <w:name w:val="List Paragraph"/>
    <w:basedOn w:val="Standard"/>
    <w:uiPriority w:val="34"/>
    <w:qFormat/>
    <w:rsid w:val="007726DE"/>
    <w:pPr>
      <w:ind w:left="720"/>
      <w:contextualSpacing/>
    </w:pPr>
    <w:rPr>
      <w:rFonts w:eastAsia="Times New Roman"/>
      <w:sz w:val="24"/>
      <w:szCs w:val="24"/>
      <w:lang w:eastAsia="de-DE"/>
    </w:rPr>
  </w:style>
  <w:style w:type="character" w:styleId="Kommentarzeichen">
    <w:name w:val="annotation reference"/>
    <w:basedOn w:val="Absatz-Standardschriftart"/>
    <w:semiHidden/>
    <w:unhideWhenUsed/>
    <w:rsid w:val="007726DE"/>
    <w:rPr>
      <w:sz w:val="16"/>
      <w:szCs w:val="16"/>
    </w:rPr>
  </w:style>
  <w:style w:type="paragraph" w:styleId="Kommentartext">
    <w:name w:val="annotation text"/>
    <w:basedOn w:val="Standard"/>
    <w:link w:val="KommentartextZchn"/>
    <w:semiHidden/>
    <w:unhideWhenUsed/>
    <w:rsid w:val="007726DE"/>
    <w:rPr>
      <w:rFonts w:eastAsia="Times New Roman"/>
      <w:sz w:val="20"/>
      <w:szCs w:val="20"/>
      <w:lang w:eastAsia="de-DE"/>
    </w:rPr>
  </w:style>
  <w:style w:type="character" w:customStyle="1" w:styleId="KommentartextZchn">
    <w:name w:val="Kommentartext Zchn"/>
    <w:basedOn w:val="Absatz-Standardschriftart"/>
    <w:link w:val="Kommentartext"/>
    <w:semiHidden/>
    <w:rsid w:val="007726DE"/>
    <w:rPr>
      <w:rFonts w:ascii="Arial" w:eastAsia="Times New Roman" w:hAnsi="Arial" w:cs="Times New Roman"/>
      <w:sz w:val="20"/>
      <w:szCs w:val="20"/>
      <w:lang w:eastAsia="de-DE"/>
    </w:rPr>
  </w:style>
  <w:style w:type="table" w:styleId="Tabellenraster">
    <w:name w:val="Table Grid"/>
    <w:basedOn w:val="NormaleTabelle"/>
    <w:rsid w:val="007726D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726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26DE"/>
    <w:rPr>
      <w:rFonts w:ascii="Segoe UI" w:eastAsia="Calibri" w:hAnsi="Segoe UI" w:cs="Segoe UI"/>
      <w:sz w:val="18"/>
      <w:szCs w:val="18"/>
    </w:rPr>
  </w:style>
  <w:style w:type="paragraph" w:styleId="HTMLVorformatiert">
    <w:name w:val="HTML Preformatted"/>
    <w:basedOn w:val="Standard"/>
    <w:link w:val="HTMLVorformatiertZchn"/>
    <w:uiPriority w:val="99"/>
    <w:semiHidden/>
    <w:unhideWhenUsed/>
    <w:rsid w:val="00F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FB3F05"/>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242106">
      <w:bodyDiv w:val="1"/>
      <w:marLeft w:val="0"/>
      <w:marRight w:val="0"/>
      <w:marTop w:val="0"/>
      <w:marBottom w:val="0"/>
      <w:divBdr>
        <w:top w:val="none" w:sz="0" w:space="0" w:color="auto"/>
        <w:left w:val="none" w:sz="0" w:space="0" w:color="auto"/>
        <w:bottom w:val="none" w:sz="0" w:space="0" w:color="auto"/>
        <w:right w:val="none" w:sz="0" w:space="0" w:color="auto"/>
      </w:divBdr>
      <w:divsChild>
        <w:div w:id="162491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d47d2628-fd19-4eca-bbda-0ea69e6078ed">Praktikantenvertrag, englisch</Dokumenttyp>
    <Dienstleistungseinheit xmlns="d47d2628-fd19-4eca-bbda-0ea69e6078ed">Personalservice</Dienstleistungseinheit>
    <Mission xmlns="d47d2628-fd19-4eca-bbda-0ea69e6078ed">KIT</Mission>
    <Abteilung xmlns="d47d2628-fd19-4eca-bbda-0ea69e6078ed">Personalbetreuung</Abteilu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796F0887D65A44972457A0869B1F54" ma:contentTypeVersion="4" ma:contentTypeDescription="Ein neues Dokument erstellen." ma:contentTypeScope="" ma:versionID="8f4b906621d4dba8d09094fed80a253d">
  <xsd:schema xmlns:xsd="http://www.w3.org/2001/XMLSchema" xmlns:xs="http://www.w3.org/2001/XMLSchema" xmlns:p="http://schemas.microsoft.com/office/2006/metadata/properties" xmlns:ns1="d47d2628-fd19-4eca-bbda-0ea69e6078ed" targetNamespace="http://schemas.microsoft.com/office/2006/metadata/properties" ma:root="true" ma:fieldsID="34aab05dd7157492ce0e98aa65be5599" ns1:_="">
    <xsd:import namespace="d47d2628-fd19-4eca-bbda-0ea69e6078ed"/>
    <xsd:element name="properties">
      <xsd:complexType>
        <xsd:sequence>
          <xsd:element name="documentManagement">
            <xsd:complexType>
              <xsd:all>
                <xsd:element ref="ns1:Mission" minOccurs="0"/>
                <xsd:element ref="ns1:Dienstleistungseinheit" minOccurs="0"/>
                <xsd:element ref="ns1:Abteilung" minOccurs="0"/>
                <xsd:element ref="ns1: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628-fd19-4eca-bbda-0ea69e6078ed" elementFormDefault="qualified">
    <xsd:import namespace="http://schemas.microsoft.com/office/2006/documentManagement/types"/>
    <xsd:import namespace="http://schemas.microsoft.com/office/infopath/2007/PartnerControls"/>
    <xsd:element name="Mission" ma:index="0" nillable="true" ma:displayName="Bereich" ma:indexed="true" ma:internalName="Mission">
      <xsd:simpleType>
        <xsd:restriction base="dms:Text">
          <xsd:maxLength value="255"/>
        </xsd:restriction>
      </xsd:simpleType>
    </xsd:element>
    <xsd:element name="Dienstleistungseinheit" ma:index="1" nillable="true" ma:displayName="Dienstleistungseinheit" ma:indexed="true" ma:internalName="Dienstleistungseinheit">
      <xsd:simpleType>
        <xsd:restriction base="dms:Text">
          <xsd:maxLength value="255"/>
        </xsd:restriction>
      </xsd:simpleType>
    </xsd:element>
    <xsd:element name="Abteilung" ma:index="2" nillable="true" ma:displayName="Abteilung" ma:indexed="true" ma:internalName="Abteilung">
      <xsd:simpleType>
        <xsd:restriction base="dms:Text">
          <xsd:maxLength value="255"/>
        </xsd:restriction>
      </xsd:simpleType>
    </xsd:element>
    <xsd:element name="Dokumenttyp" ma:index="3" nillable="true" ma:displayName="Dokumenttyp" ma:internalName="Dokumentty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B14B5-C0B1-472D-B147-3835FE00D62E}">
  <ds:schemaRefs>
    <ds:schemaRef ds:uri="d47d2628-fd19-4eca-bbda-0ea69e6078e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80F655-91AF-42BE-9958-2F6C90A8B838}">
  <ds:schemaRefs>
    <ds:schemaRef ds:uri="http://schemas.microsoft.com/sharepoint/v3/contenttype/forms"/>
  </ds:schemaRefs>
</ds:datastoreItem>
</file>

<file path=customXml/itemProps3.xml><?xml version="1.0" encoding="utf-8"?>
<ds:datastoreItem xmlns:ds="http://schemas.openxmlformats.org/officeDocument/2006/customXml" ds:itemID="{74328071-9A94-4C33-A721-3AC740637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628-fd19-4eca-bbda-0ea69e60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4696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Unterrichtung Wahrung des Datengeheimnisses in Englisch</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Unterrichtung Wahrung des Datengeheimnisses in Englisch</dc:title>
  <dc:subject/>
  <dc:creator>Jasmin</dc:creator>
  <cp:keywords/>
  <dc:description/>
  <cp:lastModifiedBy>Lachmann, Viviane (PSE)</cp:lastModifiedBy>
  <cp:revision>4</cp:revision>
  <dcterms:created xsi:type="dcterms:W3CDTF">2024-03-13T13:25:00Z</dcterms:created>
  <dcterms:modified xsi:type="dcterms:W3CDTF">2024-05-23T12:57:00Z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0x01010055796F0887D65A44972457A0869B1F54</vt:lpwstr>
  </property>
  <property fmtid="{D5CDD505-2E9C-101B-9397-08002B2CF9AE}" pid="3" name="Order">
    <vt:r8>210300</vt:r8>
  </property>
  <property fmtid="{D5CDD505-2E9C-101B-9397-08002B2CF9AE}" pid="4" name="xd_ProgID">
    <vt:lpwstr/>
  </property>
  <property fmtid="{D5CDD505-2E9C-101B-9397-08002B2CF9AE}" pid="5" name="_CopySource">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